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G0321德上高速祁门至皖赣界段工程WJ-JG合同段钢材采购项目</w:t>
      </w:r>
    </w:p>
    <w:p>
      <w:pPr>
        <w:spacing w:line="540" w:lineRule="exact"/>
        <w:ind w:firstLine="420"/>
        <w:rPr>
          <w:rFonts w:ascii="Times New Roman" w:hAnsi="Times New Roman" w:cs="Times New Roman"/>
          <w:szCs w:val="21"/>
        </w:rPr>
      </w:pPr>
    </w:p>
    <w:p>
      <w:pPr>
        <w:pStyle w:val="6"/>
        <w:rPr>
          <w:rFonts w:ascii="Times New Roman" w:hAnsi="Times New Roman" w:cs="Times New Roman"/>
          <w:szCs w:val="21"/>
        </w:rPr>
      </w:pPr>
    </w:p>
    <w:p/>
    <w:p>
      <w:pPr>
        <w:pStyle w:val="6"/>
        <w:rPr>
          <w:rFonts w:ascii="Times New Roman" w:hAnsi="Times New Roman" w:cs="Times New Roman"/>
          <w:szCs w:val="21"/>
        </w:rPr>
      </w:pPr>
    </w:p>
    <w:p>
      <w:pPr>
        <w:pStyle w:val="6"/>
        <w:rPr>
          <w:rFonts w:ascii="Times New Roman" w:hAnsi="Times New Roman" w:cs="Times New Roman"/>
          <w:szCs w:val="21"/>
        </w:rPr>
      </w:pPr>
    </w:p>
    <w:p>
      <w:pPr>
        <w:pStyle w:val="11"/>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yellow"/>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w:t>
      </w:r>
      <w:r>
        <w:rPr>
          <w:rFonts w:hint="eastAsia" w:ascii="Times New Roman" w:hAnsi="Times New Roman" w:eastAsia="黑体" w:cs="Times New Roman"/>
          <w:sz w:val="32"/>
          <w:szCs w:val="32"/>
          <w:highlight w:val="none"/>
          <w:u w:val="single"/>
          <w:lang w:val="en-US" w:eastAsia="zh-CN"/>
        </w:rPr>
        <w:t xml:space="preserve">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11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10</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54" w:name="_GoBack"/>
          <w:bookmarkEnd w:id="154"/>
          <w:r>
            <w:rPr>
              <w:rFonts w:ascii="宋体" w:hAnsi="宋体" w:eastAsia="宋体"/>
              <w:sz w:val="21"/>
            </w:rPr>
            <w:t>目录</w:t>
          </w:r>
        </w:p>
        <w:p>
          <w:pPr>
            <w:pStyle w:val="13"/>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_Toc23966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_Toc23966 \h </w:instrText>
          </w:r>
          <w:r>
            <w:fldChar w:fldCharType="separate"/>
          </w:r>
          <w:r>
            <w:t>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_Toc26240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_Toc26240 \h </w:instrText>
          </w:r>
          <w:r>
            <w:fldChar w:fldCharType="separate"/>
          </w:r>
          <w:r>
            <w:t>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_Toc2394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_Toc2394 \h </w:instrText>
          </w:r>
          <w:r>
            <w:fldChar w:fldCharType="separate"/>
          </w:r>
          <w:r>
            <w:t>16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_Toc25343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_Toc25343 \h </w:instrText>
          </w:r>
          <w:r>
            <w:fldChar w:fldCharType="separate"/>
          </w:r>
          <w:r>
            <w:t>23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_Toc24422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_Toc24422 \h </w:instrText>
          </w:r>
          <w:r>
            <w:fldChar w:fldCharType="separate"/>
          </w:r>
          <w:r>
            <w:t>37</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_Toc7773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_Toc7773 \h </w:instrText>
          </w:r>
          <w:r>
            <w:fldChar w:fldCharType="separate"/>
          </w:r>
          <w:r>
            <w:t>38</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2"/>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2"/>
        <w:spacing w:before="312" w:after="312"/>
        <w:rPr>
          <w:rFonts w:ascii="Times New Roman" w:hAnsi="Times New Roman" w:eastAsia="宋体" w:cs="Times New Roman"/>
        </w:rPr>
      </w:pPr>
      <w:bookmarkStart w:id="0" w:name="_Toc23966"/>
      <w:r>
        <w:rPr>
          <w:rFonts w:ascii="Times New Roman" w:hAnsi="Times New Roman" w:eastAsia="宋体" w:cs="Times New Roman"/>
        </w:rPr>
        <w:t>采购公告</w:t>
      </w:r>
      <w:bookmarkEnd w:id="0"/>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 w:name="_Toc13871"/>
      <w:bookmarkStart w:id="2" w:name="_Toc4489_WPSOffice_Level2"/>
      <w:bookmarkStart w:id="3" w:name="_Toc10395_WPSOffice_Level2"/>
      <w:bookmarkStart w:id="4" w:name="_Toc6496_WPSOffice_Level2"/>
      <w:bookmarkStart w:id="5" w:name="_Toc12765"/>
      <w:bookmarkStart w:id="6" w:name="_Toc24354_WPSOffice_Level2"/>
      <w:bookmarkStart w:id="7" w:name="_Toc525632585"/>
      <w:r>
        <w:rPr>
          <w:rFonts w:ascii="Times New Roman" w:hAnsi="Times New Roman" w:eastAsia="黑体" w:cs="Times New Roman"/>
          <w:b w:val="0"/>
          <w:bCs/>
          <w:kern w:val="2"/>
          <w:sz w:val="22"/>
          <w:szCs w:val="15"/>
          <w:lang w:val="en-US" w:eastAsia="zh-CN" w:bidi="ar-SA"/>
        </w:rPr>
        <w:t>项目简介</w:t>
      </w:r>
      <w:bookmarkEnd w:id="1"/>
      <w:bookmarkEnd w:id="2"/>
      <w:bookmarkEnd w:id="3"/>
      <w:bookmarkEnd w:id="4"/>
      <w:bookmarkEnd w:id="5"/>
      <w:bookmarkEnd w:id="6"/>
      <w:bookmarkEnd w:id="7"/>
    </w:p>
    <w:p>
      <w:pPr>
        <w:widowControl/>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G0321德上高速祁门至皖赣界段工程WJ-JG合同段钢材采购项目</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G0321德上高速祁门至皖赣界段工程WJ-JG合同段采购钢材</w:t>
      </w:r>
      <w:r>
        <w:rPr>
          <w:rFonts w:hint="eastAsia" w:ascii="宋体" w:hAnsi="宋体" w:eastAsia="宋体" w:cs="宋体"/>
          <w:kern w:val="0"/>
          <w:sz w:val="21"/>
          <w:szCs w:val="21"/>
          <w:highlight w:val="none"/>
          <w:u w:val="none"/>
          <w:lang w:eastAsia="zh-CN"/>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8" w:name="_Toc10274"/>
      <w:bookmarkStart w:id="9" w:name="_Toc17858_WPSOffice_Level2"/>
      <w:bookmarkStart w:id="10" w:name="_Toc18453"/>
      <w:bookmarkStart w:id="11" w:name="_Toc525632586"/>
      <w:bookmarkStart w:id="12" w:name="_Toc23266_WPSOffice_Level2"/>
      <w:bookmarkStart w:id="13" w:name="_Toc8128_WPSOffice_Level2"/>
      <w:bookmarkStart w:id="14" w:name="_Toc18367_WPSOffice_Level2"/>
      <w:r>
        <w:rPr>
          <w:rFonts w:ascii="Times New Roman" w:hAnsi="Times New Roman" w:eastAsia="黑体" w:cs="Times New Roman"/>
          <w:b w:val="0"/>
          <w:bCs/>
          <w:kern w:val="2"/>
          <w:sz w:val="22"/>
          <w:szCs w:val="15"/>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lang w:val="en-US" w:eastAsia="zh-CN"/>
        </w:rPr>
        <w:t>钢材。</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w:t>
      </w:r>
      <w:r>
        <w:rPr>
          <w:rFonts w:hint="eastAsia" w:ascii="宋体" w:hAnsi="宋体" w:eastAsia="宋体" w:cs="宋体"/>
          <w:kern w:val="0"/>
          <w:sz w:val="21"/>
          <w:szCs w:val="21"/>
          <w:highlight w:val="none"/>
          <w:u w:val="single"/>
        </w:rPr>
        <w:t>萍钢</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中天</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鄂钢</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南钢</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马钢</w:t>
      </w:r>
      <w:r>
        <w:rPr>
          <w:rFonts w:hint="eastAsia" w:ascii="宋体" w:hAnsi="宋体" w:eastAsia="宋体" w:cs="宋体"/>
          <w:szCs w:val="21"/>
          <w:u w:val="single"/>
          <w:lang w:val="en-US" w:eastAsia="zh-CN"/>
        </w:rPr>
        <w:t xml:space="preserve">。产品参数详见工程量清单。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7"/>
      <w:r>
        <w:rPr>
          <w:rFonts w:hint="eastAsia" w:ascii="宋体" w:hAnsi="宋体" w:eastAsia="宋体" w:cs="宋体"/>
          <w:szCs w:val="21"/>
          <w:highlight w:val="none"/>
          <w:u w:val="single"/>
        </w:rPr>
        <w:t xml:space="preserve"> </w:t>
      </w:r>
      <w:r>
        <w:rPr>
          <w:rFonts w:hint="eastAsia" w:ascii="宋体" w:hAnsi="宋体" w:eastAsia="宋体" w:cs="宋体"/>
          <w:kern w:val="0"/>
          <w:sz w:val="21"/>
          <w:szCs w:val="21"/>
          <w:highlight w:val="none"/>
          <w:u w:val="single"/>
          <w:lang w:eastAsia="zh-CN"/>
        </w:rPr>
        <w:t>带肋钢材(HRB400E) ：</w:t>
      </w:r>
      <w:r>
        <w:rPr>
          <w:rFonts w:hint="eastAsia" w:ascii="宋体" w:hAnsi="宋体" w:eastAsia="宋体" w:cs="宋体"/>
          <w:kern w:val="0"/>
          <w:sz w:val="21"/>
          <w:szCs w:val="21"/>
          <w:highlight w:val="none"/>
          <w:u w:val="single"/>
          <w:lang w:val="en-US" w:eastAsia="zh-CN"/>
        </w:rPr>
        <w:t>4330.56</w:t>
      </w:r>
      <w:r>
        <w:rPr>
          <w:rFonts w:hint="eastAsia" w:ascii="宋体" w:hAnsi="宋体" w:eastAsia="宋体" w:cs="宋体"/>
          <w:kern w:val="0"/>
          <w:sz w:val="21"/>
          <w:szCs w:val="21"/>
          <w:highlight w:val="none"/>
          <w:u w:val="single"/>
          <w:lang w:eastAsia="zh-CN"/>
        </w:rPr>
        <w:t>元</w:t>
      </w:r>
      <w:r>
        <w:rPr>
          <w:rFonts w:hint="eastAsia" w:ascii="宋体" w:hAnsi="宋体" w:eastAsia="宋体" w:cs="宋体"/>
          <w:kern w:val="0"/>
          <w:sz w:val="21"/>
          <w:szCs w:val="21"/>
          <w:highlight w:val="none"/>
          <w:u w:val="single"/>
          <w:lang w:val="en-US" w:eastAsia="zh-CN"/>
        </w:rPr>
        <w:t>/吨，</w:t>
      </w:r>
      <w:r>
        <w:rPr>
          <w:rFonts w:hint="eastAsia" w:ascii="宋体" w:hAnsi="宋体" w:eastAsia="宋体" w:cs="宋体"/>
          <w:kern w:val="0"/>
          <w:sz w:val="21"/>
          <w:szCs w:val="21"/>
          <w:highlight w:val="none"/>
          <w:u w:val="single"/>
          <w:lang w:eastAsia="zh-CN"/>
        </w:rPr>
        <w:t>光圆钢材（HPB300）：</w:t>
      </w:r>
      <w:r>
        <w:rPr>
          <w:rFonts w:hint="eastAsia" w:ascii="宋体" w:hAnsi="宋体" w:eastAsia="宋体" w:cs="宋体"/>
          <w:kern w:val="0"/>
          <w:sz w:val="21"/>
          <w:szCs w:val="21"/>
          <w:highlight w:val="none"/>
          <w:u w:val="single"/>
          <w:lang w:val="en-US" w:eastAsia="zh-CN"/>
        </w:rPr>
        <w:t>4474.44</w:t>
      </w:r>
      <w:r>
        <w:rPr>
          <w:rFonts w:hint="eastAsia" w:ascii="宋体" w:hAnsi="宋体" w:eastAsia="宋体" w:cs="宋体"/>
          <w:kern w:val="0"/>
          <w:sz w:val="21"/>
          <w:szCs w:val="21"/>
          <w:highlight w:val="none"/>
          <w:u w:val="single"/>
          <w:lang w:eastAsia="zh-CN"/>
        </w:rPr>
        <w:t>元</w:t>
      </w:r>
      <w:r>
        <w:rPr>
          <w:rFonts w:hint="eastAsia" w:ascii="宋体" w:hAnsi="宋体" w:eastAsia="宋体" w:cs="宋体"/>
          <w:kern w:val="0"/>
          <w:sz w:val="21"/>
          <w:szCs w:val="21"/>
          <w:highlight w:val="none"/>
          <w:u w:val="single"/>
          <w:lang w:val="en-US" w:eastAsia="zh-CN"/>
        </w:rPr>
        <w:t>/吨。</w:t>
      </w:r>
      <w:r>
        <w:rPr>
          <w:rFonts w:hint="eastAsia" w:ascii="宋体" w:hAnsi="宋体" w:eastAsia="宋体" w:cs="宋体"/>
          <w:szCs w:val="21"/>
          <w:highlight w:val="non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2023年 11 月至本项目施工结束，具体每批进场时间以甲方计划通知为准。</w:t>
      </w:r>
      <w:r>
        <w:rPr>
          <w:rFonts w:hint="eastAsia" w:ascii="宋体" w:hAnsi="宋体" w:eastAsia="宋体" w:cs="宋体"/>
          <w:szCs w:val="21"/>
          <w:lang w:val="en-US" w:eastAsia="zh-CN"/>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8" w:name="_Toc29516_WPSOffice_Level2"/>
      <w:bookmarkStart w:id="19" w:name="_Toc3714"/>
      <w:bookmarkStart w:id="20" w:name="_Toc525632587"/>
      <w:bookmarkStart w:id="21" w:name="_Toc6388"/>
      <w:bookmarkStart w:id="22" w:name="_Toc22379_WPSOffice_Level2"/>
      <w:bookmarkStart w:id="23" w:name="_Toc31673_WPSOffice_Level2"/>
      <w:bookmarkStart w:id="24" w:name="_Toc1622_WPSOffice_Level2"/>
      <w:r>
        <w:rPr>
          <w:rFonts w:ascii="Times New Roman" w:hAnsi="Times New Roman" w:eastAsia="黑体" w:cs="Times New Roman"/>
          <w:b w:val="0"/>
          <w:bCs/>
          <w:kern w:val="2"/>
          <w:sz w:val="22"/>
          <w:szCs w:val="15"/>
          <w:lang w:val="en-US" w:eastAsia="zh-CN" w:bidi="ar-SA"/>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bCs/>
          <w:kern w:val="2"/>
          <w:sz w:val="22"/>
          <w:szCs w:val="15"/>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Times New Roman" w:hAnsi="Times New Roman" w:eastAsia="宋体"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业绩最低要求：</w:t>
      </w:r>
    </w:p>
    <w:p>
      <w:pPr>
        <w:pStyle w:val="6"/>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至少提供1个自2020年10月1日以来，单项合同额不低于1亿元（或2.5万吨）的钢材供应</w:t>
      </w:r>
      <w:r>
        <w:rPr>
          <w:rFonts w:hint="eastAsia" w:ascii="Times New Roman" w:hAnsi="Times New Roman" w:cs="Times New Roman"/>
          <w:b/>
          <w:bCs/>
          <w:color w:val="auto"/>
          <w:szCs w:val="21"/>
          <w:highlight w:val="none"/>
          <w:u w:val="single"/>
          <w:lang w:val="en-US" w:eastAsia="zh-CN"/>
        </w:rPr>
        <w:t>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HAnsi" w:eastAsiaTheme="minorEastAsia"/>
          <w:lang w:val="en-US" w:eastAsia="zh-CN"/>
        </w:rPr>
      </w:pPr>
      <w:r>
        <w:rPr>
          <w:rFonts w:hint="eastAsia" w:asciiTheme="minorHAnsi" w:eastAsiaTheme="minorEastAsia"/>
          <w:lang w:val="en-US" w:eastAsia="zh-CN"/>
        </w:rPr>
        <w:t>业绩证明材料要求：</w:t>
      </w:r>
    </w:p>
    <w:p>
      <w:pPr>
        <w:pStyle w:val="6"/>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default"/>
          <w:lang w:val="en-US" w:eastAsia="zh-CN"/>
        </w:rPr>
      </w:pPr>
      <w:r>
        <w:rPr>
          <w:rFonts w:hint="eastAsia" w:asciiTheme="minorHAnsi" w:hAnsiTheme="minorHAnsi" w:eastAsiaTheme="minorEastAsia" w:cstheme="minorBidi"/>
          <w:kern w:val="2"/>
          <w:sz w:val="21"/>
          <w:szCs w:val="24"/>
          <w:lang w:val="en-US" w:eastAsia="zh-CN" w:bidi="ar-SA"/>
        </w:rPr>
        <w:t>①</w:t>
      </w:r>
      <w:r>
        <w:rPr>
          <w:rFonts w:hint="eastAsia" w:cstheme="minorBidi"/>
          <w:kern w:val="2"/>
          <w:sz w:val="21"/>
          <w:szCs w:val="24"/>
          <w:lang w:val="en-US" w:eastAsia="zh-CN" w:bidi="ar-SA"/>
        </w:rPr>
        <w:t>中标公示网上截图</w:t>
      </w:r>
      <w:r>
        <w:rPr>
          <w:rFonts w:hint="eastAsia" w:asciiTheme="minorHAnsi" w:hAnsiTheme="minorHAnsi" w:eastAsiaTheme="minorEastAsia" w:cstheme="minorBidi"/>
          <w:kern w:val="2"/>
          <w:sz w:val="21"/>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③若合同协议书中不能明确反映出</w:t>
      </w:r>
      <w:r>
        <w:rPr>
          <w:rFonts w:hint="eastAsia" w:cstheme="minorBidi"/>
          <w:kern w:val="2"/>
          <w:sz w:val="21"/>
          <w:szCs w:val="24"/>
          <w:lang w:val="en-US" w:eastAsia="zh-CN" w:bidi="ar-SA"/>
        </w:rPr>
        <w:t>采购文件</w:t>
      </w:r>
      <w:r>
        <w:rPr>
          <w:rFonts w:hint="eastAsia" w:asciiTheme="minorHAnsi" w:hAnsiTheme="minorHAnsi" w:eastAsiaTheme="minorEastAsia" w:cstheme="minorBidi"/>
          <w:kern w:val="2"/>
          <w:sz w:val="21"/>
          <w:szCs w:val="24"/>
          <w:lang w:val="en-US" w:eastAsia="zh-CN" w:bidi="ar-SA"/>
        </w:rPr>
        <w:t>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8"/>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④</w:t>
      </w:r>
      <w:r>
        <w:rPr>
          <w:rFonts w:hint="eastAsia" w:asciiTheme="minorHAnsi" w:hAnsiTheme="minorHAnsi" w:eastAsiaTheme="minorEastAsia" w:cstheme="minorBidi"/>
          <w:kern w:val="2"/>
          <w:sz w:val="21"/>
          <w:szCs w:val="24"/>
          <w:lang w:val="en-US" w:eastAsia="zh-CN" w:bidi="ar-SA"/>
        </w:rPr>
        <w:t>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w:t>
      </w:r>
      <w:r>
        <w:rPr>
          <w:rFonts w:ascii="Times New Roman" w:hAnsi="Times New Roman" w:eastAsia="宋体"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①</w:t>
      </w:r>
      <w:r>
        <w:rPr>
          <w:rFonts w:hint="eastAsia" w:ascii="Times New Roman" w:hAnsi="Times New Roman" w:eastAsia="宋体"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rPr>
      </w:pPr>
      <w:r>
        <w:rPr>
          <w:rFonts w:hint="eastAsia" w:ascii="Times New Roman" w:hAnsi="Times New Roman" w:eastAsia="宋体"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③</w:t>
      </w:r>
      <w:r>
        <w:rPr>
          <w:rFonts w:ascii="Times New Roman" w:hAnsi="Times New Roman" w:eastAsia="宋体" w:cs="Times New Roman"/>
          <w:szCs w:val="22"/>
        </w:rPr>
        <w:t>在国家企业信用信息公示系统（http://www.gsxt.gov.cn）中</w:t>
      </w:r>
      <w:r>
        <w:rPr>
          <w:rFonts w:hint="eastAsia" w:ascii="Times New Roman" w:hAnsi="Times New Roman" w:eastAsia="宋体" w:cs="Times New Roman"/>
          <w:szCs w:val="22"/>
        </w:rPr>
        <w:t>未</w:t>
      </w:r>
      <w:r>
        <w:rPr>
          <w:rFonts w:ascii="Times New Roman" w:hAnsi="Times New Roman" w:eastAsia="宋体"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④</w:t>
      </w:r>
      <w:r>
        <w:rPr>
          <w:rFonts w:ascii="Times New Roman" w:hAnsi="Times New Roman" w:eastAsia="宋体" w:cs="Times New Roman"/>
          <w:szCs w:val="22"/>
        </w:rPr>
        <w:t>在“信用中国”网站（http://www.creditchina.gov.cn）中</w:t>
      </w:r>
      <w:r>
        <w:rPr>
          <w:rFonts w:hint="eastAsia" w:ascii="Times New Roman" w:hAnsi="Times New Roman" w:eastAsia="宋体" w:cs="Times New Roman"/>
          <w:szCs w:val="22"/>
        </w:rPr>
        <w:t>未</w:t>
      </w:r>
      <w:r>
        <w:rPr>
          <w:rFonts w:ascii="Times New Roman" w:hAnsi="Times New Roman" w:eastAsia="宋体"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⑤</w:t>
      </w:r>
      <w:r>
        <w:rPr>
          <w:rFonts w:ascii="Times New Roman" w:hAnsi="Times New Roman" w:eastAsia="宋体" w:cs="Times New Roman"/>
          <w:szCs w:val="22"/>
        </w:rPr>
        <w:t>在近三年内（自</w:t>
      </w:r>
      <w:r>
        <w:rPr>
          <w:rFonts w:hint="eastAsia" w:ascii="Times New Roman" w:hAnsi="Times New Roman" w:eastAsia="宋体" w:cs="Times New Roman"/>
          <w:szCs w:val="22"/>
        </w:rPr>
        <w:t>响应文件递交截止之日</w:t>
      </w:r>
      <w:r>
        <w:rPr>
          <w:rFonts w:ascii="Times New Roman" w:hAnsi="Times New Roman" w:eastAsia="宋体" w:cs="Times New Roman"/>
          <w:szCs w:val="22"/>
        </w:rPr>
        <w:t>向前追溯3年）供应商或其法定代表人、拟委任的项目经理</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如有</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未</w:t>
      </w:r>
      <w:r>
        <w:rPr>
          <w:rFonts w:ascii="Times New Roman" w:hAnsi="Times New Roman" w:eastAsia="宋体"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⑥其他要求：</w:t>
      </w:r>
      <w:r>
        <w:rPr>
          <w:rFonts w:hint="eastAsia" w:ascii="Times New Roman" w:hAnsi="Times New Roman" w:eastAsia="宋体" w:cs="Times New Roman"/>
          <w:u w:val="single"/>
          <w:lang w:val="en-US" w:eastAsia="zh-CN"/>
        </w:rPr>
        <w:t xml:space="preserve">        /        </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3.2 联合体：本次采购</w:t>
      </w:r>
      <w:r>
        <w:rPr>
          <w:rFonts w:hint="eastAsia" w:ascii="Times New Roman" w:hAnsi="Times New Roman" w:eastAsia="宋体" w:cs="Times New Roman"/>
          <w:szCs w:val="22"/>
        </w:rPr>
        <w:t>不接受</w:t>
      </w:r>
      <w:r>
        <w:rPr>
          <w:rFonts w:ascii="Times New Roman" w:hAnsi="Times New Roman" w:eastAsia="宋体"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25" w:name="_Toc29452_WPSOffice_Level2"/>
      <w:bookmarkStart w:id="26" w:name="_Toc25666_WPSOffice_Level2"/>
      <w:bookmarkStart w:id="27" w:name="_Toc4751"/>
      <w:bookmarkStart w:id="28" w:name="_Toc4109_WPSOffice_Level2"/>
      <w:bookmarkStart w:id="29" w:name="_Toc2996_WPSOffice_Level2"/>
      <w:bookmarkStart w:id="30" w:name="_Toc1994"/>
      <w:bookmarkStart w:id="31" w:name="_Toc525632588"/>
      <w:r>
        <w:rPr>
          <w:rFonts w:hint="eastAsia" w:ascii="Times New Roman" w:hAnsi="Times New Roman" w:eastAsia="黑体" w:cs="Times New Roman"/>
          <w:b w:val="0"/>
          <w:bCs/>
          <w:kern w:val="2"/>
          <w:sz w:val="22"/>
          <w:szCs w:val="15"/>
          <w:lang w:val="en-US" w:eastAsia="zh-CN" w:bidi="ar-SA"/>
        </w:rPr>
        <w:t>询比文件</w:t>
      </w:r>
      <w:r>
        <w:rPr>
          <w:rFonts w:ascii="Times New Roman" w:hAnsi="Times New Roman" w:eastAsia="黑体" w:cs="Times New Roman"/>
          <w:b w:val="0"/>
          <w:bCs/>
          <w:kern w:val="2"/>
          <w:sz w:val="22"/>
          <w:szCs w:val="15"/>
          <w:lang w:val="en-US" w:eastAsia="zh-CN" w:bidi="ar-SA"/>
        </w:rPr>
        <w:t>的获取</w:t>
      </w:r>
      <w:bookmarkEnd w:id="25"/>
      <w:bookmarkEnd w:id="26"/>
      <w:bookmarkEnd w:id="27"/>
      <w:bookmarkEnd w:id="28"/>
      <w:bookmarkEnd w:id="29"/>
      <w:bookmarkEnd w:id="30"/>
      <w:bookmarkEnd w:id="31"/>
    </w:p>
    <w:p>
      <w:pPr>
        <w:pStyle w:val="15"/>
        <w:keepNext w:val="0"/>
        <w:keepLines w:val="0"/>
        <w:widowControl/>
        <w:suppressLineNumbers w:val="0"/>
        <w:spacing w:before="0" w:beforeAutospacing="0" w:after="0" w:afterAutospacing="0" w:line="30" w:lineRule="atLeast"/>
        <w:ind w:left="0" w:right="0" w:firstLine="420" w:firstLineChars="200"/>
        <w:jc w:val="both"/>
        <w:rPr>
          <w:rFonts w:ascii="Times New Roman" w:hAnsi="Times New Roman" w:eastAsia="宋体" w:cs="Times New Roman"/>
          <w:kern w:val="2"/>
          <w:sz w:val="21"/>
          <w:szCs w:val="22"/>
          <w:lang w:val="en-US" w:eastAsia="zh-CN" w:bidi="ar-SA"/>
        </w:rPr>
      </w:pPr>
      <w:bookmarkStart w:id="32" w:name="_Toc525632589"/>
      <w:bookmarkStart w:id="33" w:name="_Toc726"/>
      <w:r>
        <w:rPr>
          <w:rFonts w:ascii="Times New Roman" w:hAnsi="Times New Roman" w:eastAsia="宋体" w:cs="Times New Roman"/>
          <w:kern w:val="2"/>
          <w:sz w:val="21"/>
          <w:szCs w:val="22"/>
          <w:lang w:val="en-US" w:eastAsia="zh-CN" w:bidi="ar-SA"/>
        </w:rPr>
        <w:t>供应商应在递交响应文件的截止时间前登录“安徽省经工建设集团有限公司”网站（https://www.ahjggroup.com/）“通知公告”栏，选择所参加的合同包，自行下载询比文件及相关资料（含澄清、补遗及相关补充文件）。未按规定在“安徽省经工建设集团有限公司”（https://www.ahjggroup.com/）“通知公告”栏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响应文件的递交</w:t>
      </w:r>
      <w:bookmarkEnd w:id="32"/>
      <w:bookmarkEnd w:id="33"/>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imes New Roman" w:hAnsi="Times New Roman" w:eastAsia="宋体" w:cs="Times New Roman"/>
          <w:kern w:val="2"/>
          <w:sz w:val="21"/>
          <w:szCs w:val="22"/>
          <w:u w:val="none"/>
          <w:lang w:val="en-US" w:eastAsia="zh-CN" w:bidi="ar-SA"/>
        </w:rPr>
      </w:pPr>
      <w:bookmarkStart w:id="34" w:name="_Toc22719"/>
      <w:bookmarkStart w:id="35" w:name="_Toc525632591"/>
      <w:r>
        <w:rPr>
          <w:rFonts w:hint="eastAsia" w:ascii="宋体" w:hAnsi="宋体" w:eastAsia="宋体" w:cs="宋体"/>
          <w:kern w:val="0"/>
          <w:sz w:val="21"/>
          <w:szCs w:val="21"/>
          <w:lang w:val="en-US" w:eastAsia="zh-CN" w:bidi="ar-SA"/>
        </w:rPr>
        <w:t>响应文件递交的截止时间</w:t>
      </w:r>
      <w:r>
        <w:rPr>
          <w:rFonts w:hint="eastAsia" w:ascii="宋体" w:hAnsi="宋体" w:eastAsia="宋体" w:cs="宋体"/>
          <w:kern w:val="0"/>
          <w:sz w:val="21"/>
          <w:szCs w:val="21"/>
          <w:highlight w:val="none"/>
          <w:lang w:val="en-US" w:eastAsia="zh-CN" w:bidi="ar-SA"/>
        </w:rPr>
        <w:t>为</w:t>
      </w:r>
      <w:r>
        <w:rPr>
          <w:rFonts w:hint="eastAsia" w:ascii="宋体" w:hAnsi="宋体" w:eastAsia="宋体" w:cs="宋体"/>
          <w:b/>
          <w:bCs/>
          <w:kern w:val="0"/>
          <w:sz w:val="21"/>
          <w:szCs w:val="21"/>
          <w:highlight w:val="none"/>
          <w:u w:val="single"/>
          <w:lang w:val="en-US" w:eastAsia="zh-CN" w:bidi="ar-SA"/>
        </w:rPr>
        <w:t xml:space="preserve"> 2023 </w:t>
      </w:r>
      <w:r>
        <w:rPr>
          <w:rFonts w:hint="eastAsia" w:ascii="宋体" w:hAnsi="宋体" w:eastAsia="宋体" w:cs="宋体"/>
          <w:b/>
          <w:bCs/>
          <w:kern w:val="0"/>
          <w:sz w:val="21"/>
          <w:szCs w:val="21"/>
          <w:highlight w:val="none"/>
          <w:lang w:val="en-US" w:eastAsia="zh-CN" w:bidi="ar-SA"/>
        </w:rPr>
        <w:t>年</w:t>
      </w:r>
      <w:r>
        <w:rPr>
          <w:rFonts w:hint="eastAsia" w:ascii="宋体" w:hAnsi="宋体" w:eastAsia="宋体" w:cs="宋体"/>
          <w:b/>
          <w:bCs/>
          <w:kern w:val="0"/>
          <w:sz w:val="21"/>
          <w:szCs w:val="21"/>
          <w:highlight w:val="none"/>
          <w:u w:val="single"/>
          <w:lang w:val="en-US" w:eastAsia="zh-CN" w:bidi="ar-SA"/>
        </w:rPr>
        <w:t xml:space="preserve"> 11 </w:t>
      </w:r>
      <w:r>
        <w:rPr>
          <w:rFonts w:hint="eastAsia" w:ascii="宋体" w:hAnsi="宋体" w:eastAsia="宋体" w:cs="宋体"/>
          <w:b/>
          <w:bCs/>
          <w:kern w:val="0"/>
          <w:sz w:val="21"/>
          <w:szCs w:val="21"/>
          <w:highlight w:val="none"/>
          <w:lang w:val="en-US" w:eastAsia="zh-CN" w:bidi="ar-SA"/>
        </w:rPr>
        <w:t>月</w:t>
      </w:r>
      <w:r>
        <w:rPr>
          <w:rFonts w:hint="eastAsia" w:ascii="宋体" w:hAnsi="宋体" w:eastAsia="宋体" w:cs="宋体"/>
          <w:b/>
          <w:bCs/>
          <w:kern w:val="0"/>
          <w:sz w:val="21"/>
          <w:szCs w:val="21"/>
          <w:highlight w:val="none"/>
          <w:u w:val="single"/>
          <w:lang w:val="en-US" w:eastAsia="zh-CN" w:bidi="ar-SA"/>
        </w:rPr>
        <w:t xml:space="preserve"> 21</w:t>
      </w:r>
      <w:r>
        <w:rPr>
          <w:rFonts w:hint="eastAsia" w:ascii="宋体" w:hAnsi="宋体" w:eastAsia="宋体" w:cs="宋体"/>
          <w:b/>
          <w:bCs/>
          <w:kern w:val="0"/>
          <w:sz w:val="21"/>
          <w:szCs w:val="21"/>
          <w:highlight w:val="none"/>
          <w:lang w:val="en-US" w:eastAsia="zh-CN" w:bidi="ar-SA"/>
        </w:rPr>
        <w:t>日</w:t>
      </w:r>
      <w:r>
        <w:rPr>
          <w:rFonts w:hint="eastAsia" w:ascii="宋体" w:hAnsi="宋体" w:eastAsia="宋体" w:cs="宋体"/>
          <w:b/>
          <w:bCs/>
          <w:kern w:val="0"/>
          <w:sz w:val="21"/>
          <w:szCs w:val="21"/>
          <w:highlight w:val="none"/>
          <w:u w:val="single"/>
          <w:lang w:val="en-US" w:eastAsia="zh-CN" w:bidi="ar-SA"/>
        </w:rPr>
        <w:t xml:space="preserve"> 9 </w:t>
      </w:r>
      <w:r>
        <w:rPr>
          <w:rFonts w:hint="eastAsia" w:ascii="宋体" w:hAnsi="宋体" w:eastAsia="宋体" w:cs="宋体"/>
          <w:b/>
          <w:bCs/>
          <w:kern w:val="0"/>
          <w:sz w:val="21"/>
          <w:szCs w:val="21"/>
          <w:highlight w:val="none"/>
          <w:lang w:val="en-US" w:eastAsia="zh-CN" w:bidi="ar-SA"/>
        </w:rPr>
        <w:t>时</w:t>
      </w:r>
      <w:r>
        <w:rPr>
          <w:rFonts w:hint="eastAsia" w:ascii="宋体" w:hAnsi="宋体" w:eastAsia="宋体" w:cs="宋体"/>
          <w:b/>
          <w:bCs/>
          <w:kern w:val="0"/>
          <w:sz w:val="21"/>
          <w:szCs w:val="21"/>
          <w:highlight w:val="none"/>
          <w:u w:val="single"/>
          <w:lang w:val="en-US" w:eastAsia="zh-CN" w:bidi="ar-SA"/>
        </w:rPr>
        <w:t xml:space="preserve"> 30 </w:t>
      </w:r>
      <w:r>
        <w:rPr>
          <w:rFonts w:hint="eastAsia" w:ascii="宋体" w:hAnsi="宋体" w:eastAsia="宋体" w:cs="宋体"/>
          <w:b/>
          <w:bCs/>
          <w:kern w:val="0"/>
          <w:sz w:val="21"/>
          <w:szCs w:val="21"/>
          <w:highlight w:val="none"/>
          <w:lang w:val="en-US" w:eastAsia="zh-CN" w:bidi="ar-SA"/>
        </w:rPr>
        <w:t>分</w:t>
      </w:r>
      <w:r>
        <w:rPr>
          <w:rFonts w:hint="eastAsia" w:ascii="宋体" w:hAnsi="宋体" w:eastAsia="宋体" w:cs="宋体"/>
          <w:kern w:val="0"/>
          <w:sz w:val="21"/>
          <w:szCs w:val="21"/>
          <w:highlight w:val="none"/>
          <w:lang w:val="en-US" w:eastAsia="zh-CN" w:bidi="ar-SA"/>
        </w:rPr>
        <w:t>，供</w:t>
      </w:r>
      <w:r>
        <w:rPr>
          <w:rFonts w:hint="eastAsia" w:ascii="宋体" w:hAnsi="宋体" w:eastAsia="宋体" w:cs="宋体"/>
          <w:kern w:val="0"/>
          <w:sz w:val="21"/>
          <w:szCs w:val="21"/>
          <w:lang w:val="en-US" w:eastAsia="zh-CN" w:bidi="ar-SA"/>
        </w:rPr>
        <w:t>应商的法定代表人或其授权代理人应在文件递交截止时间前，将响应文件递交</w:t>
      </w:r>
      <w:r>
        <w:rPr>
          <w:rFonts w:hint="eastAsia" w:ascii="宋体" w:hAnsi="宋体" w:eastAsia="宋体" w:cs="宋体"/>
          <w:kern w:val="0"/>
          <w:sz w:val="21"/>
          <w:szCs w:val="21"/>
          <w:u w:val="none"/>
          <w:lang w:val="en-US" w:eastAsia="zh-CN" w:bidi="ar-SA"/>
        </w:rPr>
        <w:t>至</w:t>
      </w:r>
      <w:r>
        <w:rPr>
          <w:rFonts w:hint="eastAsia" w:ascii="宋体" w:hAnsi="宋体" w:eastAsia="宋体" w:cs="宋体"/>
          <w:kern w:val="2"/>
          <w:sz w:val="21"/>
          <w:szCs w:val="21"/>
          <w:u w:val="none"/>
          <w:lang w:val="en-US" w:eastAsia="zh-CN" w:bidi="ar-SA"/>
        </w:rPr>
        <w:t>安徽省合肥市包河</w:t>
      </w:r>
      <w:r>
        <w:rPr>
          <w:rFonts w:hint="eastAsia" w:ascii="宋体" w:hAnsi="宋体" w:eastAsia="宋体" w:cs="宋体"/>
          <w:kern w:val="2"/>
          <w:sz w:val="21"/>
          <w:szCs w:val="21"/>
          <w:highlight w:val="none"/>
          <w:u w:val="none"/>
          <w:lang w:val="en-US" w:eastAsia="zh-CN" w:bidi="ar-SA"/>
        </w:rPr>
        <w:t>区西藏路1588号高</w:t>
      </w:r>
      <w:r>
        <w:rPr>
          <w:rFonts w:hint="eastAsia" w:ascii="宋体" w:hAnsi="宋体" w:eastAsia="宋体" w:cs="宋体"/>
          <w:kern w:val="2"/>
          <w:sz w:val="21"/>
          <w:szCs w:val="21"/>
          <w:u w:val="none"/>
          <w:lang w:val="en-US" w:eastAsia="zh-CN" w:bidi="ar-SA"/>
        </w:rPr>
        <w:t>速时代广场C1栋1008安徽省经工物资有限公司</w:t>
      </w:r>
      <w:r>
        <w:rPr>
          <w:rFonts w:hint="eastAsia" w:ascii="宋体" w:hAnsi="宋体" w:eastAsia="宋体" w:cs="宋体"/>
          <w:kern w:val="2"/>
          <w:sz w:val="21"/>
          <w:szCs w:val="21"/>
          <w:lang w:val="en-US" w:eastAsia="zh-CN" w:bidi="ar-SA"/>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响应文件启封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szCs w:val="22"/>
          <w:highlight w:val="none"/>
          <w:lang w:val="en-US" w:eastAsia="zh-CN"/>
        </w:rPr>
      </w:pPr>
      <w:r>
        <w:rPr>
          <w:rFonts w:ascii="Times New Roman" w:hAnsi="Times New Roman" w:eastAsia="宋体" w:cs="Times New Roman"/>
          <w:szCs w:val="22"/>
          <w:highlight w:val="none"/>
        </w:rPr>
        <w:t>响应文件的递交截止时间到后，采购人将于</w:t>
      </w:r>
      <w:r>
        <w:rPr>
          <w:rFonts w:hint="eastAsia" w:ascii="Times New Roman" w:hAnsi="Times New Roman" w:eastAsia="宋体" w:cs="Times New Roman"/>
          <w:szCs w:val="22"/>
          <w:highlight w:val="none"/>
          <w:u w:val="single"/>
        </w:rPr>
        <w:t>安徽省合肥市包河区西藏路1</w:t>
      </w:r>
      <w:r>
        <w:rPr>
          <w:rFonts w:hint="eastAsia" w:ascii="Times New Roman" w:hAnsi="Times New Roman" w:eastAsia="宋体" w:cs="Times New Roman"/>
          <w:szCs w:val="22"/>
          <w:highlight w:val="none"/>
          <w:u w:val="single"/>
          <w:lang w:val="en-US" w:eastAsia="zh-CN"/>
        </w:rPr>
        <w:t>588</w:t>
      </w:r>
      <w:r>
        <w:rPr>
          <w:rFonts w:hint="eastAsia" w:ascii="Times New Roman" w:hAnsi="Times New Roman" w:eastAsia="宋体" w:cs="Times New Roman"/>
          <w:szCs w:val="22"/>
          <w:highlight w:val="none"/>
          <w:u w:val="single"/>
        </w:rPr>
        <w:t>号高速时代广场C1栋</w:t>
      </w:r>
      <w:r>
        <w:rPr>
          <w:rFonts w:hint="eastAsia" w:ascii="Times New Roman" w:hAnsi="Times New Roman" w:eastAsia="宋体" w:cs="Times New Roman"/>
          <w:szCs w:val="22"/>
          <w:highlight w:val="none"/>
          <w:u w:val="single"/>
          <w:lang w:val="en-US" w:eastAsia="zh-CN"/>
        </w:rPr>
        <w:t>1008</w:t>
      </w:r>
      <w:r>
        <w:rPr>
          <w:rFonts w:hint="eastAsia" w:ascii="Times New Roman" w:hAnsi="Times New Roman" w:eastAsia="宋体" w:cs="Times New Roman"/>
          <w:kern w:val="2"/>
          <w:sz w:val="21"/>
          <w:szCs w:val="22"/>
          <w:highlight w:val="none"/>
          <w:u w:val="single"/>
        </w:rPr>
        <w:t>安徽</w:t>
      </w:r>
      <w:r>
        <w:rPr>
          <w:rFonts w:hint="eastAsia" w:ascii="Times New Roman" w:hAnsi="Times New Roman" w:eastAsia="宋体" w:cs="Times New Roman"/>
          <w:kern w:val="2"/>
          <w:sz w:val="21"/>
          <w:szCs w:val="22"/>
          <w:highlight w:val="none"/>
          <w:u w:val="single"/>
          <w:lang w:val="en-US" w:eastAsia="zh-CN"/>
        </w:rPr>
        <w:t>省经工物资有限公司</w:t>
      </w:r>
      <w:r>
        <w:rPr>
          <w:rFonts w:ascii="Times New Roman" w:hAnsi="Times New Roman" w:eastAsia="宋体" w:cs="Times New Roman"/>
          <w:szCs w:val="22"/>
          <w:highlight w:val="none"/>
        </w:rPr>
        <w:t>（地点）</w:t>
      </w:r>
      <w:r>
        <w:rPr>
          <w:rFonts w:hint="eastAsia" w:ascii="Times New Roman" w:hAnsi="Times New Roman" w:eastAsia="宋体" w:cs="Times New Roman"/>
          <w:szCs w:val="22"/>
          <w:highlight w:val="none"/>
        </w:rPr>
        <w:t>现场</w:t>
      </w:r>
      <w:r>
        <w:rPr>
          <w:rFonts w:ascii="Times New Roman" w:hAnsi="Times New Roman" w:eastAsia="宋体" w:cs="Times New Roman"/>
          <w:szCs w:val="22"/>
          <w:highlight w:val="none"/>
        </w:rPr>
        <w:t>组织进行响应文件的启</w:t>
      </w:r>
      <w:r>
        <w:rPr>
          <w:rFonts w:hint="eastAsia" w:ascii="Times New Roman" w:hAnsi="Times New Roman" w:eastAsia="宋体" w:cs="Times New Roman"/>
          <w:szCs w:val="22"/>
          <w:highlight w:val="none"/>
        </w:rPr>
        <w:t>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Times New Roman" w:hAnsi="Times New Roman" w:eastAsia="宋体" w:cs="Times New Roman"/>
          <w:szCs w:val="22"/>
          <w:highlight w:val="none"/>
          <w:lang w:val="en-US" w:eastAsia="zh-CN"/>
        </w:rPr>
        <w:t>200000 元（大写：贰拾万元整）</w:t>
      </w:r>
      <w:r>
        <w:rPr>
          <w:rFonts w:hint="eastAsia" w:ascii="宋体" w:hAnsi="宋体" w:eastAsia="宋体" w:cs="宋体"/>
          <w:b/>
          <w:bCs/>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开户银行：工行合肥银河支行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账号：1302 0121 1920 0034 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“皖赣线钢材采购项目”</w:t>
      </w:r>
      <w:r>
        <w:rPr>
          <w:rFonts w:hint="eastAsia" w:ascii="宋体" w:hAnsi="宋体" w:eastAsia="宋体" w:cs="宋体"/>
          <w:kern w:val="2"/>
          <w:sz w:val="21"/>
          <w:szCs w:val="21"/>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发布公告的媒介</w:t>
      </w:r>
      <w:bookmarkEnd w:id="34"/>
      <w:bookmarkEnd w:id="35"/>
    </w:p>
    <w:p>
      <w:pPr>
        <w:pStyle w:val="15"/>
        <w:keepNext w:val="0"/>
        <w:keepLines w:val="0"/>
        <w:widowControl/>
        <w:suppressLineNumbers w:val="0"/>
        <w:spacing w:before="0" w:beforeAutospacing="0" w:after="0" w:afterAutospacing="0" w:line="30" w:lineRule="atLeast"/>
        <w:ind w:left="0" w:right="0" w:firstLine="420" w:firstLineChars="200"/>
        <w:jc w:val="both"/>
        <w:rPr>
          <w:rFonts w:hint="eastAsia" w:ascii="宋体" w:hAnsi="宋体" w:eastAsia="宋体" w:cs="宋体"/>
          <w:kern w:val="2"/>
          <w:sz w:val="21"/>
          <w:szCs w:val="21"/>
          <w:lang w:val="en-US" w:eastAsia="zh-CN" w:bidi="ar-SA"/>
        </w:rPr>
      </w:pPr>
      <w:bookmarkStart w:id="36" w:name="_Toc28571_WPSOffice_Level2"/>
      <w:bookmarkStart w:id="37" w:name="_Toc20572_WPSOffice_Level2"/>
      <w:bookmarkStart w:id="38" w:name="_Toc14943_WPSOffice_Level2"/>
      <w:bookmarkStart w:id="39" w:name="_Toc26829"/>
      <w:bookmarkStart w:id="40" w:name="_Toc8501"/>
      <w:bookmarkStart w:id="41" w:name="_Toc321_WPSOffice_Level2"/>
      <w:bookmarkStart w:id="42" w:name="_Toc525632592"/>
      <w:r>
        <w:rPr>
          <w:rFonts w:hint="eastAsia" w:ascii="宋体" w:hAnsi="宋体" w:eastAsia="宋体" w:cs="宋体"/>
          <w:kern w:val="2"/>
          <w:sz w:val="21"/>
          <w:szCs w:val="21"/>
          <w:lang w:val="en-US" w:eastAsia="zh-CN" w:bidi="ar-SA"/>
        </w:rPr>
        <w:t>本次采购公告在“安徽省经工建设集团有限公司网站（https://www.ahjggroup.com/）“通知公告”栏上发布。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lang w:val="en-US" w:eastAsia="zh-CN" w:bidi="ar-SA"/>
        </w:rPr>
      </w:pPr>
      <w:r>
        <w:rPr>
          <w:rFonts w:hint="eastAsia" w:ascii="Times New Roman" w:hAnsi="Times New Roman" w:eastAsia="黑体" w:cs="Times New Roman"/>
          <w:b w:val="0"/>
          <w:bCs/>
          <w:kern w:val="2"/>
          <w:sz w:val="22"/>
          <w:szCs w:val="15"/>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lang w:val="en-US" w:eastAsia="zh-CN" w:bidi="ar-SA"/>
        </w:rPr>
        <w:t xml:space="preserve">     </w:t>
      </w:r>
      <w:r>
        <w:rPr>
          <w:rFonts w:hint="eastAsia" w:ascii="宋体" w:hAnsi="宋体" w:eastAsia="宋体" w:cs="宋体"/>
          <w:b w:val="0"/>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3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2023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11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10 </w:t>
      </w:r>
      <w:r>
        <w:rPr>
          <w:rFonts w:hint="eastAsia" w:ascii="宋体" w:hAnsi="宋体" w:eastAsia="宋体" w:cs="宋体"/>
          <w:color w:val="auto"/>
          <w:sz w:val="21"/>
          <w:szCs w:val="21"/>
          <w:highlight w:val="none"/>
        </w:rPr>
        <w:t>日</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2"/>
        <w:spacing w:before="312" w:after="312"/>
        <w:rPr>
          <w:rFonts w:ascii="Times New Roman" w:hAnsi="Times New Roman" w:eastAsia="宋体" w:cs="Times New Roman"/>
        </w:rPr>
      </w:pPr>
      <w:bookmarkStart w:id="43" w:name="_Toc26240"/>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16069"/>
      <w:bookmarkStart w:id="45" w:name="_Toc19501"/>
      <w:bookmarkStart w:id="46" w:name="_Toc29381_WPSOffice_Level2"/>
      <w:bookmarkStart w:id="47" w:name="_Toc26656928"/>
      <w:bookmarkStart w:id="48" w:name="_Toc55466811"/>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19"/>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default" w:ascii="Times New Roman" w:eastAsia="宋体"/>
                <w:b/>
                <w:bCs/>
                <w:lang w:val="en-US" w:eastAsia="zh-CN"/>
              </w:rPr>
            </w:pPr>
            <w:r>
              <w:rPr>
                <w:rFonts w:hint="eastAsia"/>
                <w:lang w:val="en-US" w:eastAsia="zh-CN"/>
              </w:rPr>
              <w:t>1.本项目后期有可能涉及部分货物的局部或尺寸的细微调整，需进行优化设计，投标单位在投标报价时应充分考虑此部分的费用，根据自身因素、综合条件、市场风险自行报价，中标后不予调整。</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14201207"/>
      <w:bookmarkStart w:id="50" w:name="_Toc9067720"/>
      <w:bookmarkStart w:id="51" w:name="_Toc26656938"/>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6"/>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lang w:val="en-US" w:eastAsia="zh-CN"/>
              </w:rPr>
              <w:t>至少提供1个自2020年10月1日以来，单项合</w:t>
            </w:r>
            <w:r>
              <w:rPr>
                <w:rFonts w:hint="eastAsia"/>
                <w:highlight w:val="none"/>
                <w:lang w:val="en-US" w:eastAsia="zh-CN"/>
              </w:rPr>
              <w:t>同额不</w:t>
            </w:r>
            <w:r>
              <w:rPr>
                <w:rFonts w:hint="eastAsia"/>
                <w:lang w:val="en-US" w:eastAsia="zh-CN"/>
              </w:rPr>
              <w:t>低于1亿元（或2.5万吨）的钢材供应合同业绩。</w:t>
            </w:r>
          </w:p>
        </w:tc>
      </w:tr>
    </w:tbl>
    <w:p>
      <w:pPr>
        <w:bidi w:val="0"/>
        <w:rPr>
          <w:rFonts w:hint="eastAsia"/>
          <w:lang w:val="en-US" w:eastAsia="zh-CN"/>
        </w:rPr>
      </w:pPr>
      <w:r>
        <w:rPr>
          <w:rFonts w:hint="eastAsia"/>
          <w:lang w:val="en-US" w:eastAsia="zh-CN"/>
        </w:rPr>
        <w:t>业绩证明材料要求如下，否则业绩不予认可。</w:t>
      </w:r>
    </w:p>
    <w:p>
      <w:pPr>
        <w:pStyle w:val="6"/>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default"/>
          <w:lang w:val="en-US" w:eastAsia="zh-CN"/>
        </w:rPr>
      </w:pPr>
      <w:r>
        <w:rPr>
          <w:rFonts w:hint="eastAsia" w:asciiTheme="minorHAnsi" w:hAnsiTheme="minorHAnsi" w:eastAsiaTheme="minorEastAsia" w:cstheme="minorBidi"/>
          <w:kern w:val="2"/>
          <w:sz w:val="21"/>
          <w:szCs w:val="24"/>
          <w:lang w:val="en-US" w:eastAsia="zh-CN" w:bidi="ar-SA"/>
        </w:rPr>
        <w:t>①</w:t>
      </w:r>
      <w:r>
        <w:rPr>
          <w:rFonts w:hint="eastAsia" w:cstheme="minorBidi"/>
          <w:kern w:val="2"/>
          <w:sz w:val="21"/>
          <w:szCs w:val="24"/>
          <w:lang w:val="en-US" w:eastAsia="zh-CN" w:bidi="ar-SA"/>
        </w:rPr>
        <w:t>中标公示网上截图</w:t>
      </w:r>
      <w:r>
        <w:rPr>
          <w:rFonts w:hint="eastAsia" w:asciiTheme="minorHAnsi" w:hAnsiTheme="minorHAnsi" w:eastAsiaTheme="minorEastAsia" w:cstheme="minorBidi"/>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imes New Roman" w:eastAsia="宋体"/>
          <w:lang w:val="en-US" w:eastAsia="zh-CN"/>
        </w:rPr>
        <w:t>②</w:t>
      </w:r>
      <w:r>
        <w:rPr>
          <w:rFonts w:hint="eastAsia"/>
          <w:lang w:val="en-US" w:eastAsia="zh-CN"/>
        </w:rPr>
        <w:t xml:space="preserve">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eastAsia="宋体"/>
          <w:lang w:val="en-US" w:eastAsia="zh-CN"/>
        </w:rPr>
        <w:t>③</w:t>
      </w:r>
      <w:r>
        <w:rPr>
          <w:rFonts w:hint="eastAsia"/>
          <w:lang w:val="en-US" w:eastAsia="zh-CN"/>
        </w:rPr>
        <w:t>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eastAsia="宋体"/>
          <w:lang w:val="en-US" w:eastAsia="zh-CN"/>
        </w:rPr>
        <w:t>④</w:t>
      </w:r>
      <w:r>
        <w:rPr>
          <w:rFonts w:hint="eastAsia"/>
          <w:lang w:val="en-US" w:eastAsia="zh-CN"/>
        </w:rPr>
        <w:t>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⑤</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6"/>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30"/>
              <w:rPr>
                <w:rFonts w:hint="eastAsia"/>
              </w:rPr>
            </w:pPr>
          </w:p>
        </w:tc>
      </w:tr>
    </w:tbl>
    <w:p>
      <w:pPr>
        <w:pStyle w:val="30"/>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2"/>
        <w:spacing w:before="312" w:after="312"/>
        <w:rPr>
          <w:rFonts w:ascii="Times New Roman" w:hAnsi="Times New Roman" w:eastAsia="宋体" w:cs="Times New Roman"/>
        </w:rPr>
      </w:pPr>
      <w:bookmarkStart w:id="52" w:name="_Toc239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pPr>
        <w:pStyle w:val="34"/>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152042304"/>
      <w:bookmarkStart w:id="54" w:name="_Toc457482536"/>
      <w:bookmarkStart w:id="55" w:name="_Toc152045528"/>
      <w:bookmarkStart w:id="56" w:name="_Toc3834"/>
      <w:bookmarkStart w:id="57" w:name="_Toc144974496"/>
      <w:bookmarkStart w:id="58" w:name="_Toc14847"/>
      <w:bookmarkStart w:id="59" w:name="_Toc447808662"/>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评标委员会按评标价由低到高顺序推荐中标候选人，评标价相等时，评标委员会依次按照以下优先顺序推荐中标候选人：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）商务及技术文件得分较高的投标人优先；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）投标文件提供的业绩累计合同金额大的投标人优先。 </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形式评审</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与响应性</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第一个信封（商务及技术文件）评审标准：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投标函按采购文件规定填报了采购人名称、项目名称、标段号、补遗书编号（如有）、工期、工程质量要求及安全目标；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投标函附录的所有数据均符合采购文件规定；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）投标文件上法定代表人或其授权代理人的签字、投标人的单位章盖章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）投标人按照采购文件的规定提供了投标保证金：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投标保证金金额符合采购文件规定的金额，且投标保证金有效期不少于投标有效期；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若投标保证金采用现金或支票形式提交，投标人应在递交投标文件截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止时间之前，将投标保证金由投标人的基本账户转入并到达采购人指定账户；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若投标保证金采用银行保函形式提交，银行保函的格式、开具保函的银行均满足采购文件要求。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）投标人法定代表人授权委托代理人签署投标文件的，需提交授权委托书，且授权人和被授权人均在授权委托书上签字。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）投标人法定代表人亲自签署投标文件的，提供了法定代表人身份证明，且法定代表人在法定代表人身份证明上签字。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）本项目不接受联合体投标。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）同一投标人未提交两个以上不同的投标文件。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）投标文件中未出现有关投标报价的内容。</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 xml:space="preserve">）投标文件载明的招标项目完成期限未超过采购文件规定的时限。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 xml:space="preserve">）投标文件对采购文件的实质性要求和条件作出响应。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）权利义务符合采购文件规定：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投标人应接受采购文件规定的风险划分原则，未提出新的风险划分办法；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投标人未增加发包人的责任范围，或减少投标人义务；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投标人未提出不同的工程验收、计量、支付办法；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投标人对合同纠纷、事故处理办法未提出异议；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e.</w:t>
            </w:r>
            <w:r>
              <w:rPr>
                <w:rFonts w:hint="eastAsia" w:ascii="宋体" w:hAnsi="宋体" w:eastAsia="宋体" w:cs="宋体"/>
                <w:color w:val="000000"/>
                <w:kern w:val="0"/>
                <w:sz w:val="22"/>
                <w:szCs w:val="22"/>
                <w:lang w:val="en-US" w:eastAsia="zh-CN" w:bidi="ar"/>
              </w:rPr>
              <w:t xml:space="preserve">投标人在投标活动中无欺诈行为；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f.</w:t>
            </w:r>
            <w:r>
              <w:rPr>
                <w:rFonts w:hint="eastAsia" w:ascii="宋体" w:hAnsi="宋体" w:eastAsia="宋体" w:cs="宋体"/>
                <w:color w:val="000000"/>
                <w:kern w:val="0"/>
                <w:sz w:val="22"/>
                <w:szCs w:val="22"/>
                <w:lang w:val="en-US" w:eastAsia="zh-CN" w:bidi="ar"/>
              </w:rPr>
              <w:t xml:space="preserve">投标人未对合同条款有重要保留。 </w:t>
            </w:r>
          </w:p>
          <w:p>
            <w:pPr>
              <w:keepNext w:val="0"/>
              <w:keepLines w:val="0"/>
              <w:widowControl/>
              <w:suppressLineNumbers w:val="0"/>
              <w:jc w:val="left"/>
              <w:rPr>
                <w:b w:val="0"/>
                <w:bCs w:val="0"/>
              </w:rPr>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b w:val="0"/>
                <w:bCs w:val="0"/>
                <w:color w:val="000000"/>
                <w:kern w:val="0"/>
                <w:sz w:val="22"/>
                <w:szCs w:val="22"/>
                <w:lang w:val="en-US" w:eastAsia="zh-CN" w:bidi="ar"/>
              </w:rPr>
              <w:t xml:space="preserve">投标人网上报名的标段、投标保证金提交的标段和投标文件所投标 </w:t>
            </w:r>
          </w:p>
          <w:p>
            <w:pPr>
              <w:keepNext w:val="0"/>
              <w:keepLines w:val="0"/>
              <w:widowControl/>
              <w:suppressLineNumbers w:val="0"/>
              <w:jc w:val="left"/>
            </w:pPr>
            <w:r>
              <w:rPr>
                <w:rFonts w:hint="eastAsia" w:ascii="宋体" w:hAnsi="宋体" w:eastAsia="宋体" w:cs="宋体"/>
                <w:b w:val="0"/>
                <w:bCs w:val="0"/>
                <w:color w:val="000000"/>
                <w:kern w:val="0"/>
                <w:sz w:val="22"/>
                <w:szCs w:val="22"/>
                <w:lang w:val="en-US" w:eastAsia="zh-CN" w:bidi="ar"/>
              </w:rPr>
              <w:t>段一致。</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）投标人对其信誉情况的承诺与事实相符。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）投标文件未附有采购人不能接受的条件。 </w:t>
            </w:r>
          </w:p>
          <w:p>
            <w:pPr>
              <w:keepNext w:val="0"/>
              <w:keepLines w:val="0"/>
              <w:widowControl/>
              <w:suppressLineNumbers w:val="0"/>
              <w:jc w:val="left"/>
            </w:pPr>
            <w:r>
              <w:rPr>
                <w:rFonts w:hint="eastAsia" w:ascii="黑体" w:hAnsi="宋体" w:eastAsia="黑体" w:cs="黑体"/>
                <w:color w:val="000000"/>
                <w:kern w:val="0"/>
                <w:sz w:val="22"/>
                <w:szCs w:val="22"/>
                <w:lang w:val="en-US" w:eastAsia="zh-CN" w:bidi="ar"/>
              </w:rPr>
              <w:t xml:space="preserve">第二个信封（报价文件）评审标准：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）报价文件按照采购文件规定的格式、内容填写，字迹清晰可辨：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书编号（如有）、投标价（包括大写金额和小写金额）；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已标价工程量清单及说明文字与采购文件规定一致，未进行实质性修改和删减；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工程量清单中的投标报价与投标函大写金额报价一致；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）报价文件上法定代表人或其授权代理人的签字、投标人的单位章盖章齐全，符合采购文件规定。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）投标报价未超过采购文件设定的最高投标限价（如有）。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）投标报价的大写金额能够确定具体数值。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）同一投标人未提交两个以上不同的投标报价。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）投标人未提交调价函。 （如有）</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）投标人若填写工程量固化清单，填写完毕的工程量固化清单未对工程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量固化清单电子文件中的数据、格式和运算定义进行修改。 （如有）</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标准</w:t>
            </w:r>
          </w:p>
        </w:tc>
        <w:tc>
          <w:tcPr>
            <w:tcW w:w="7418" w:type="dxa"/>
            <w:tcMar>
              <w:left w:w="75" w:type="dxa"/>
            </w:tcMar>
            <w:vAlign w:val="center"/>
          </w:tcPr>
          <w:p>
            <w:pPr>
              <w:keepNext/>
              <w:keepLines/>
              <w:pageBreakBefore w:val="0"/>
              <w:widowControl w:val="0"/>
              <w:numPr>
                <w:ilvl w:val="0"/>
                <w:numId w:val="0"/>
              </w:numPr>
              <w:kinsoku/>
              <w:wordWrap/>
              <w:overflowPunct/>
              <w:topLinePunct w:val="0"/>
              <w:autoSpaceDE/>
              <w:autoSpaceDN/>
              <w:bidi w:val="0"/>
              <w:adjustRightInd/>
              <w:snapToGrid w:val="0"/>
              <w:spacing w:before="120" w:after="120" w:line="400" w:lineRule="exact"/>
              <w:jc w:val="both"/>
              <w:textAlignment w:val="auto"/>
              <w:outlineLvl w:val="1"/>
              <w:rPr>
                <w:rFonts w:hint="default" w:ascii="宋体" w:hAnsi="宋体" w:eastAsia="宋体" w:cs="宋体"/>
                <w:color w:val="auto"/>
                <w:kern w:val="0"/>
                <w:sz w:val="21"/>
                <w:szCs w:val="21"/>
                <w:highlight w:val="none"/>
                <w:lang w:val="en-US"/>
              </w:rPr>
            </w:pPr>
            <w:r>
              <w:rPr>
                <w:rFonts w:hint="eastAsia" w:ascii="宋体" w:hAnsi="宋体" w:eastAsia="宋体" w:cs="宋体"/>
                <w:color w:val="000000"/>
                <w:kern w:val="0"/>
                <w:sz w:val="22"/>
                <w:szCs w:val="22"/>
                <w:lang w:val="en-US" w:eastAsia="zh-CN" w:bidi="ar"/>
              </w:rPr>
              <w:t>符合采购公告3.供应商资格条件 及采购文件格式要求。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34"/>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19"/>
        <w:tblpPr w:leftFromText="180" w:rightFromText="180" w:vertAnchor="text" w:horzAnchor="page" w:tblpX="1860" w:tblpY="200"/>
        <w:tblOverlap w:val="never"/>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5" w:type="dxa"/>
            <w:vAlign w:val="center"/>
          </w:tcPr>
          <w:p>
            <w:pPr>
              <w:pStyle w:val="6"/>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88"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0"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第一个信封</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评分分值构</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成</w:t>
            </w:r>
            <w:r>
              <w:rPr>
                <w:rFonts w:hint="eastAsia" w:ascii="宋体" w:hAnsi="宋体" w:eastAsia="宋体" w:cs="宋体"/>
                <w:sz w:val="21"/>
                <w:szCs w:val="21"/>
              </w:rPr>
              <w:t>（总分100分）</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100 </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业    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30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6"/>
              <w:keepNext w:val="0"/>
              <w:keepLines w:val="0"/>
              <w:pageBreakBefore w:val="0"/>
              <w:widowControl w:val="0"/>
              <w:kinsoku/>
              <w:wordWrap/>
              <w:overflowPunct/>
              <w:topLinePunct w:val="0"/>
              <w:autoSpaceDE/>
              <w:autoSpaceDN/>
              <w:bidi w:val="0"/>
              <w:snapToGrid/>
              <w:spacing w:after="0" w:line="240" w:lineRule="auto"/>
              <w:textAlignment w:val="auto"/>
              <w:rPr>
                <w:rFonts w:hint="eastAsia"/>
              </w:rPr>
            </w:pPr>
            <w:r>
              <w:rPr>
                <w:rFonts w:hint="eastAsia" w:ascii="宋体" w:hAnsi="宋体" w:eastAsia="宋体" w:cs="宋体"/>
                <w:sz w:val="21"/>
                <w:szCs w:val="21"/>
                <w:lang w:val="en-US" w:eastAsia="zh-CN"/>
              </w:rPr>
              <w:t>企业实力：</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6"/>
              <w:keepNext w:val="0"/>
              <w:keepLines w:val="0"/>
              <w:pageBreakBefore w:val="0"/>
              <w:widowControl w:val="0"/>
              <w:kinsoku/>
              <w:wordWrap/>
              <w:overflowPunct/>
              <w:topLinePunct w:val="0"/>
              <w:autoSpaceDE/>
              <w:autoSpaceDN/>
              <w:bidi w:val="0"/>
              <w:snapToGrid/>
              <w:spacing w:after="0" w:line="240" w:lineRule="auto"/>
              <w:textAlignment w:val="auto"/>
              <w:rPr>
                <w:rFonts w:hint="eastAsia" w:eastAsia="宋体"/>
                <w:lang w:val="en-US" w:eastAsia="zh-CN"/>
              </w:rPr>
            </w:pPr>
            <w:r>
              <w:rPr>
                <w:rFonts w:hint="eastAsia" w:ascii="宋体" w:hAnsi="宋体" w:eastAsia="宋体" w:cs="宋体"/>
                <w:sz w:val="21"/>
                <w:szCs w:val="21"/>
                <w:lang w:val="en-US" w:eastAsia="zh-CN"/>
              </w:rPr>
              <w:t>检测报告：</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30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0" w:type="dxa"/>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highlight w:val="none"/>
                <w:lang w:val="en-US" w:eastAsia="zh-CN" w:bidi="ar"/>
              </w:rPr>
              <w:t>通过第一个信封详细评审的投标人数量</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通过第一个信封详细评审的投标人数量按照投标人的商务和技术得分由高到低排序，排序前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家通过评审，进入第二个信封报价文件开启和评审（报价合格家数不得少于2家）。如出现第一个信封得分相同的情况，按照施工组织设计得分高低依次排列。</w:t>
            </w:r>
          </w:p>
        </w:tc>
      </w:tr>
    </w:tbl>
    <w:tbl>
      <w:tblPr>
        <w:tblStyle w:val="19"/>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
        <w:gridCol w:w="899"/>
        <w:gridCol w:w="165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6" w:type="pct"/>
            <w:gridSpan w:val="2"/>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4" w:type="pc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6" w:type="pct"/>
            <w:vMerge w:val="restar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6"/>
              <w:adjustRightInd w:val="0"/>
              <w:snapToGrid w:val="0"/>
              <w:rPr>
                <w:rFonts w:hint="eastAsia" w:ascii="宋体" w:hAnsi="宋体" w:eastAsia="宋体" w:cs="宋体"/>
                <w:sz w:val="21"/>
                <w:szCs w:val="21"/>
                <w:highlight w:val="none"/>
              </w:rPr>
            </w:pPr>
          </w:p>
        </w:tc>
        <w:tc>
          <w:tcPr>
            <w:tcW w:w="490" w:type="pct"/>
            <w:vMerge w:val="restart"/>
            <w:vAlign w:val="center"/>
          </w:tcPr>
          <w:p>
            <w:pPr>
              <w:pStyle w:val="6"/>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6"/>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pStyle w:val="6"/>
              <w:adjustRightInd w:val="0"/>
              <w:snapToGrid w:val="0"/>
              <w:ind w:firstLine="420" w:firstLineChars="200"/>
              <w:jc w:val="left"/>
              <w:rPr>
                <w:rFonts w:hint="default" w:eastAsia="宋体"/>
                <w:lang w:val="en-US" w:eastAsia="zh-CN"/>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18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每多提供一个2亿元（或5万吨）业绩加</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分，每多提供一个4亿元（或10万吨）业绩加</w:t>
            </w:r>
            <w:r>
              <w:rPr>
                <w:rFonts w:hint="eastAsia" w:ascii="宋体" w:hAnsi="宋体" w:eastAsia="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lang w:val="en-US" w:eastAsia="zh-CN"/>
              </w:rPr>
              <w:t>分，每多提供一个6亿元（或15万吨）业绩加</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lang w:val="en-US" w:eastAsia="zh-CN"/>
              </w:rPr>
              <w:t>分；累计最多加</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检测报告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spacing w:line="360" w:lineRule="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1、提供拟使用品牌钢材近3年内的检测报告的得10分。</w:t>
            </w:r>
          </w:p>
          <w:p>
            <w:pPr>
              <w:spacing w:line="360" w:lineRule="auto"/>
              <w:rPr>
                <w:rFonts w:hint="default" w:ascii="宋体" w:hAnsi="宋体" w:cs="宋体" w:eastAsiaTheme="minorEastAsia"/>
                <w:sz w:val="21"/>
                <w:szCs w:val="21"/>
                <w:highlight w:val="none"/>
                <w:lang w:val="en-US" w:eastAsia="zh-CN"/>
              </w:rPr>
            </w:pPr>
            <w:r>
              <w:rPr>
                <w:rFonts w:hint="eastAsia" w:ascii="宋体" w:hAnsi="宋体" w:eastAsia="宋体" w:cs="宋体"/>
                <w:color w:val="auto"/>
                <w:kern w:val="0"/>
                <w:sz w:val="21"/>
                <w:szCs w:val="21"/>
                <w:u w:val="none"/>
                <w:lang w:val="en-US" w:eastAsia="zh-CN" w:bidi="ar"/>
              </w:rPr>
              <w:t>2、提供拟使用品牌钢材出厂合格证书的得10分。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企业实力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lang w:val="en-US" w:eastAsia="zh-CN"/>
              </w:rPr>
              <w:t>）</w:t>
            </w:r>
          </w:p>
        </w:tc>
        <w:tc>
          <w:tcPr>
            <w:tcW w:w="3114" w:type="pct"/>
            <w:vAlign w:val="center"/>
          </w:tcPr>
          <w:p>
            <w:pPr>
              <w:spacing w:line="360" w:lineRule="auto"/>
              <w:rPr>
                <w:rFonts w:hint="default"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提供投标单位组织架构、办公场所、财务报告、机械（自有）、人员等证明企业实力的资料，实力较强得</w:t>
            </w:r>
            <w:r>
              <w:rPr>
                <w:rFonts w:hint="eastAsia" w:ascii="宋体" w:hAnsi="宋体" w:eastAsia="宋体" w:cs="宋体"/>
                <w:sz w:val="21"/>
                <w:szCs w:val="21"/>
                <w:highlight w:val="none"/>
                <w:lang w:val="en-US" w:eastAsia="zh-CN"/>
              </w:rPr>
              <w:t>得16-20分；一般得12-16分，较差得基础分12分，不提供不得分。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rPr>
              <w:t>分）</w:t>
            </w:r>
          </w:p>
        </w:tc>
        <w:tc>
          <w:tcPr>
            <w:tcW w:w="3114" w:type="pct"/>
            <w:vAlign w:val="center"/>
          </w:tcPr>
          <w:p>
            <w:pPr>
              <w:pStyle w:val="6"/>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1、针对本项目材料的生产、供货进度计划（须拟进度计划表</w:t>
            </w:r>
            <w:r>
              <w:rPr>
                <w:rFonts w:hint="eastAsia" w:ascii="宋体" w:hAnsi="宋体"/>
                <w:kern w:val="0"/>
                <w:sz w:val="24"/>
              </w:rPr>
              <w:t>）</w:t>
            </w:r>
            <w:r>
              <w:rPr>
                <w:rFonts w:hint="eastAsia" w:ascii="宋体" w:hAnsi="宋体" w:eastAsia="宋体" w:cs="宋体"/>
                <w:sz w:val="21"/>
                <w:szCs w:val="21"/>
                <w:highlight w:val="none"/>
                <w:lang w:val="en-US" w:eastAsia="zh-CN"/>
              </w:rPr>
              <w:t>具体、详细，可行性最优，针对性强得8-10分；一般得6-8分，较差得基础分6分。</w:t>
            </w:r>
          </w:p>
          <w:p>
            <w:pPr>
              <w:pStyle w:val="6"/>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2、针对本项目的材料质量保证措施、运输的安全保证措施，具体、详细，可行性最优，针对性强得8-10分；一般得6-8分，较差得基础分6分。</w:t>
            </w:r>
          </w:p>
          <w:p>
            <w:pPr>
              <w:pStyle w:val="6"/>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3、针对本项目售后服务方案（包括售后服务响应等内容）具体、详细，可行性最优，针对性强得8-10分；一般得6-8分，较差得基础分6分。</w:t>
            </w:r>
            <w:r>
              <w:rPr>
                <w:rFonts w:hint="eastAsia" w:ascii="宋体" w:hAnsi="宋体" w:eastAsia="宋体" w:cs="宋体"/>
                <w:sz w:val="21"/>
                <w:szCs w:val="21"/>
                <w:highlight w:val="none"/>
                <w:lang w:val="en-US" w:eastAsia="zh-CN" w:bidi="ar"/>
              </w:rPr>
              <w:t xml:space="preserve">                                                 </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lang w:val="en-US"/>
        </w:rPr>
      </w:pPr>
      <w:r>
        <w:rPr>
          <w:rFonts w:ascii="Times New Roman" w:hAnsi="Times New Roman" w:cs="Times New Roman"/>
        </w:rPr>
        <w:t>本次评审采用</w:t>
      </w:r>
      <w:r>
        <w:rPr>
          <w:rFonts w:hint="eastAsia" w:ascii="Times New Roman" w:hAnsi="Times New Roman" w:cs="Times New Roman"/>
          <w:lang w:val="en-US" w:eastAsia="zh-CN"/>
        </w:rPr>
        <w:t>技术评分最低价</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lang w:eastAsia="zh-CN"/>
        </w:rPr>
        <w:t>（</w:t>
      </w:r>
      <w:r>
        <w:rPr>
          <w:rFonts w:hint="eastAsia" w:ascii="Times New Roman" w:hAnsi="Times New Roman" w:cs="Times New Roman"/>
          <w:lang w:val="en-US" w:eastAsia="zh-CN"/>
        </w:rPr>
        <w:t>第一信封 商务及技术文件）</w:t>
      </w:r>
      <w:r>
        <w:rPr>
          <w:rFonts w:ascii="Times New Roman" w:hAnsi="Times New Roman" w:cs="Times New Roman"/>
        </w:rPr>
        <w:t>按照本章规定的评分标准进行打分，</w:t>
      </w: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家通过评审，进入第二个信封报价文件开启和评审。按报价文件价格由低到高推荐成交候选人。</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6"/>
        <w:rPr>
          <w:rFonts w:hint="default"/>
        </w:rPr>
      </w:pPr>
    </w:p>
    <w:p>
      <w:pPr>
        <w:rPr>
          <w:rFonts w:hint="default"/>
        </w:rPr>
      </w:pPr>
    </w:p>
    <w:p>
      <w:pPr>
        <w:pStyle w:val="6"/>
        <w:rPr>
          <w:rFonts w:hint="default"/>
        </w:rPr>
      </w:pPr>
    </w:p>
    <w:p>
      <w:pPr>
        <w:pStyle w:val="6"/>
        <w:rPr>
          <w:rFonts w:ascii="Times New Roman" w:hAnsi="Times New Roman"/>
        </w:rPr>
      </w:pPr>
    </w:p>
    <w:p>
      <w:pPr>
        <w:widowControl/>
        <w:jc w:val="left"/>
        <w:rPr>
          <w:rFonts w:ascii="Times New Roman" w:hAnsi="Times New Roman" w:eastAsia="宋体" w:cs="Times New Roman"/>
        </w:rPr>
      </w:pPr>
    </w:p>
    <w:p>
      <w:pPr>
        <w:pStyle w:val="18"/>
        <w:rPr>
          <w:rFonts w:ascii="Times New Roman" w:hAnsi="Times New Roman" w:eastAsia="宋体" w:cs="Times New Roman"/>
        </w:rPr>
      </w:pPr>
    </w:p>
    <w:p>
      <w:pPr>
        <w:pStyle w:val="18"/>
        <w:rPr>
          <w:rFonts w:ascii="Times New Roman" w:hAnsi="Times New Roman" w:eastAsia="宋体" w:cs="Times New Roman"/>
        </w:rPr>
      </w:pPr>
    </w:p>
    <w:p>
      <w:pPr>
        <w:pStyle w:val="2"/>
        <w:numPr>
          <w:ilvl w:val="0"/>
          <w:numId w:val="0"/>
        </w:numPr>
        <w:spacing w:before="312" w:after="312"/>
        <w:ind w:leftChars="0"/>
        <w:jc w:val="center"/>
        <w:rPr>
          <w:rFonts w:ascii="Times New Roman" w:hAnsi="Times New Roman" w:eastAsia="宋体" w:cs="Times New Roman"/>
        </w:rPr>
      </w:pPr>
      <w:bookmarkStart w:id="60" w:name="_Toc25343"/>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2"/>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6"/>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spacing w:line="440" w:lineRule="exact"/>
        <w:rPr>
          <w:rFonts w:hint="eastAsia" w:ascii="宋体" w:hAnsi="宋体" w:eastAsia="宋体" w:cs="Times New Roman"/>
          <w:b/>
          <w:color w:val="FF0000"/>
          <w:sz w:val="24"/>
          <w:lang w:eastAsia="zh-CN"/>
        </w:rPr>
      </w:pPr>
      <w:r>
        <w:rPr>
          <w:rFonts w:hint="eastAsia" w:ascii="宋体" w:hAnsi="宋体" w:eastAsia="宋体" w:cs="Times New Roman"/>
          <w:b/>
          <w:sz w:val="24"/>
        </w:rPr>
        <w:t>甲方（买方）：</w:t>
      </w:r>
    </w:p>
    <w:p>
      <w:pPr>
        <w:adjustRightInd w:val="0"/>
        <w:snapToGrid w:val="0"/>
        <w:spacing w:line="440" w:lineRule="exact"/>
        <w:ind w:left="4415" w:hanging="4415"/>
        <w:rPr>
          <w:rFonts w:ascii="宋体" w:hAnsi="宋体" w:eastAsia="宋体" w:cs="Times New Roman"/>
          <w:sz w:val="24"/>
        </w:rPr>
      </w:pPr>
      <w:r>
        <w:rPr>
          <w:rFonts w:hint="eastAsia" w:ascii="宋体" w:hAnsi="宋体" w:eastAsia="宋体" w:cs="Times New Roman"/>
          <w:b/>
          <w:sz w:val="24"/>
        </w:rPr>
        <w:t>乙方（卖方）：</w:t>
      </w:r>
      <w:r>
        <w:rPr>
          <w:rFonts w:hint="eastAsia" w:ascii="宋体" w:hAnsi="宋体" w:eastAsia="宋体" w:cs="Times New Roman"/>
          <w:sz w:val="24"/>
        </w:rPr>
        <w:tab/>
      </w:r>
      <w:r>
        <w:rPr>
          <w:rFonts w:hint="eastAsia" w:ascii="宋体" w:hAnsi="宋体" w:eastAsia="宋体" w:cs="Times New Roman"/>
          <w:sz w:val="24"/>
        </w:rPr>
        <w:t xml:space="preserve">      </w:t>
      </w:r>
    </w:p>
    <w:p>
      <w:pPr>
        <w:widowControl/>
        <w:jc w:val="left"/>
        <w:rPr>
          <w:rFonts w:ascii="宋体" w:hAnsi="宋体" w:eastAsia="宋体" w:cs="Times New Roman"/>
          <w:color w:val="000000"/>
          <w:sz w:val="24"/>
        </w:rPr>
      </w:pPr>
    </w:p>
    <w:p>
      <w:pPr>
        <w:widowControl/>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因甲方承</w:t>
      </w:r>
      <w:r>
        <w:rPr>
          <w:rFonts w:hint="eastAsia" w:ascii="宋体" w:hAnsi="宋体" w:eastAsia="宋体" w:cs="Times New Roman"/>
          <w:color w:val="auto"/>
          <w:sz w:val="24"/>
        </w:rPr>
        <w:t>担</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项</w:t>
      </w:r>
      <w:r>
        <w:rPr>
          <w:rFonts w:hint="eastAsia" w:ascii="宋体" w:hAnsi="宋体" w:eastAsia="宋体" w:cs="Times New Roman"/>
          <w:color w:val="000000"/>
          <w:sz w:val="24"/>
        </w:rPr>
        <w:t>目（以下简称“</w:t>
      </w:r>
      <w:r>
        <w:rPr>
          <w:rFonts w:hint="eastAsia" w:ascii="宋体" w:hAnsi="宋体" w:eastAsia="宋体" w:cs="Times New Roman"/>
          <w:color w:val="0000FF"/>
          <w:sz w:val="24"/>
          <w:lang w:val="en-US" w:eastAsia="zh-CN"/>
        </w:rPr>
        <w:t xml:space="preserve">    </w:t>
      </w:r>
      <w:r>
        <w:rPr>
          <w:rFonts w:hint="eastAsia" w:ascii="宋体" w:hAnsi="宋体" w:eastAsia="宋体" w:cs="Times New Roman"/>
          <w:color w:val="000000"/>
          <w:sz w:val="24"/>
        </w:rPr>
        <w:t xml:space="preserve">”）钢材的供应任务，本着公平、公正、互惠、互利的原则，根据《中华人民共和国民法典》及相关法律法规，为明确双方的权利和义务，在平等互利、诚实守信的基础上，经双方友好协商，就甲方向乙方采购钢材事宜达成本合同，以兹共同信守。 </w:t>
      </w:r>
    </w:p>
    <w:p>
      <w:pPr>
        <w:widowControl w:val="0"/>
        <w:numPr>
          <w:ilvl w:val="0"/>
          <w:numId w:val="4"/>
        </w:numPr>
        <w:spacing w:line="440" w:lineRule="exact"/>
        <w:ind w:left="1202" w:hanging="720" w:firstLineChars="0"/>
        <w:jc w:val="both"/>
        <w:rPr>
          <w:rFonts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材料名称、规格型号、数量、单价</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结算价格实行浮动价，本合同的价格随物价波动每各自然月进行调整。</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（1）</w:t>
      </w: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实际结算单价：实行以成交到场单价为基础的动态管理，且成交运杂费单价在合同执行过程中保持不变。</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（2）基准价</w:t>
      </w:r>
    </w:p>
    <w:p>
      <w:pPr>
        <w:spacing w:line="360" w:lineRule="auto"/>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基准期内“我的钢铁网(www.mysteel.com)”2023年 8月 25 日、2023 年9月 5日、2023 年9月15 日公布的合肥市场建筑钢材价格行情所对应的马钢、信钢、莱钢永锋HRB400EΦ12及HRB400EΦ25市场价格数据的算术平均值为招标物资对应规格的带肋钢材(HRB400E)基准价。</w:t>
      </w:r>
    </w:p>
    <w:p>
      <w:pPr>
        <w:spacing w:line="360" w:lineRule="auto"/>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基准期内“我的钢铁网(wwwmysteel.com)”2023 年 8月 25 日、2023 年 9 月 5 日、2023 年9月15日公布的合肥市场建筑钢材价格行情所对应的马钢、信钢、莱钢永锋高线 HPB3006-10市场价格数据的算术平均值为招标物资对应规格的光圆钢材(HPB300)基准价。</w:t>
      </w:r>
    </w:p>
    <w:p>
      <w:pPr>
        <w:spacing w:line="360" w:lineRule="auto"/>
        <w:ind w:firstLine="480" w:firstLineChars="200"/>
        <w:rPr>
          <w:rFonts w:ascii="宋体" w:hAnsi="宋体" w:eastAsia="宋体" w:cs="Times New Roman"/>
          <w:bCs/>
          <w:color w:val="auto"/>
          <w:sz w:val="24"/>
          <w:highlight w:val="none"/>
        </w:rPr>
      </w:pPr>
      <w:r>
        <w:rPr>
          <w:rFonts w:ascii="宋体" w:hAnsi="宋体" w:eastAsia="宋体" w:cs="Times New Roman"/>
          <w:bCs/>
          <w:color w:val="auto"/>
          <w:sz w:val="24"/>
          <w:highlight w:val="none"/>
        </w:rPr>
        <w:t>附：基准期钢材价格：</w:t>
      </w:r>
    </w:p>
    <w:p>
      <w:pPr>
        <w:spacing w:line="360" w:lineRule="auto"/>
        <w:ind w:firstLine="480" w:firstLineChars="200"/>
        <w:rPr>
          <w:rFonts w:ascii="宋体" w:hAnsi="宋体" w:eastAsia="宋体" w:cs="Times New Roman"/>
          <w:bCs/>
          <w:sz w:val="24"/>
        </w:rPr>
      </w:pPr>
      <w:r>
        <w:rPr>
          <w:rFonts w:ascii="宋体" w:hAnsi="宋体" w:eastAsia="宋体" w:cs="Times New Roman"/>
          <w:bCs/>
          <w:sz w:val="24"/>
        </w:rPr>
        <w:t>带肋</w:t>
      </w:r>
      <w:r>
        <w:rPr>
          <w:rFonts w:hint="eastAsia" w:ascii="宋体" w:hAnsi="宋体" w:eastAsia="宋体" w:cs="Times New Roman"/>
          <w:bCs/>
          <w:sz w:val="24"/>
        </w:rPr>
        <w:t>钢材</w:t>
      </w:r>
      <w:r>
        <w:rPr>
          <w:rFonts w:ascii="宋体" w:hAnsi="宋体" w:eastAsia="宋体" w:cs="Times New Roman"/>
          <w:bCs/>
          <w:sz w:val="24"/>
        </w:rPr>
        <w:t>(HRB400</w:t>
      </w:r>
      <w:r>
        <w:rPr>
          <w:rFonts w:hint="eastAsia" w:ascii="宋体" w:hAnsi="宋体" w:eastAsia="宋体" w:cs="Times New Roman"/>
          <w:bCs/>
          <w:sz w:val="24"/>
        </w:rPr>
        <w:t>E</w:t>
      </w:r>
      <w:r>
        <w:rPr>
          <w:rFonts w:ascii="宋体" w:hAnsi="宋体" w:eastAsia="宋体" w:cs="Times New Roman"/>
          <w:bCs/>
          <w:sz w:val="24"/>
        </w:rPr>
        <w:t xml:space="preserve">) </w:t>
      </w:r>
      <w:r>
        <w:rPr>
          <w:rFonts w:hint="eastAsia" w:ascii="宋体" w:hAnsi="宋体" w:eastAsia="宋体" w:cs="Times New Roman"/>
          <w:bCs/>
          <w:sz w:val="24"/>
        </w:rPr>
        <w:t>：</w:t>
      </w:r>
      <w:r>
        <w:rPr>
          <w:rFonts w:ascii="宋体" w:hAnsi="宋体" w:eastAsia="宋体" w:cs="Times New Roman"/>
          <w:bCs/>
          <w:sz w:val="24"/>
        </w:rPr>
        <w:t>4030.56</w:t>
      </w:r>
      <w:r>
        <w:rPr>
          <w:rFonts w:hint="eastAsia" w:ascii="宋体" w:hAnsi="宋体" w:eastAsia="宋体" w:cs="Times New Roman"/>
          <w:bCs/>
          <w:sz w:val="24"/>
        </w:rPr>
        <w:t>元</w:t>
      </w:r>
    </w:p>
    <w:p>
      <w:pPr>
        <w:spacing w:line="360" w:lineRule="auto"/>
        <w:ind w:firstLine="480" w:firstLineChars="200"/>
        <w:rPr>
          <w:rFonts w:ascii="宋体" w:hAnsi="宋体" w:eastAsia="宋体" w:cs="Times New Roman"/>
          <w:bCs/>
          <w:sz w:val="24"/>
          <w:highlight w:val="green"/>
        </w:rPr>
      </w:pPr>
      <w:r>
        <w:rPr>
          <w:rFonts w:ascii="宋体" w:hAnsi="宋体" w:eastAsia="宋体" w:cs="Times New Roman"/>
          <w:bCs/>
          <w:sz w:val="24"/>
        </w:rPr>
        <w:t>光圆</w:t>
      </w:r>
      <w:r>
        <w:rPr>
          <w:rFonts w:hint="eastAsia" w:ascii="宋体" w:hAnsi="宋体" w:eastAsia="宋体" w:cs="Times New Roman"/>
          <w:bCs/>
          <w:sz w:val="24"/>
        </w:rPr>
        <w:t>钢材</w:t>
      </w:r>
      <w:r>
        <w:rPr>
          <w:rFonts w:ascii="宋体" w:hAnsi="宋体" w:eastAsia="宋体" w:cs="Times New Roman"/>
          <w:bCs/>
          <w:sz w:val="24"/>
        </w:rPr>
        <w:t>（HPB300）</w:t>
      </w:r>
      <w:r>
        <w:rPr>
          <w:rFonts w:hint="eastAsia" w:ascii="宋体" w:hAnsi="宋体" w:eastAsia="宋体" w:cs="Times New Roman"/>
          <w:bCs/>
          <w:sz w:val="24"/>
        </w:rPr>
        <w:t>：</w:t>
      </w:r>
      <w:r>
        <w:rPr>
          <w:rFonts w:ascii="宋体" w:hAnsi="宋体" w:eastAsia="宋体" w:cs="Times New Roman"/>
          <w:bCs/>
          <w:sz w:val="24"/>
        </w:rPr>
        <w:t>4174.44</w:t>
      </w:r>
      <w:r>
        <w:rPr>
          <w:rFonts w:hint="eastAsia" w:ascii="宋体" w:hAnsi="宋体" w:eastAsia="宋体" w:cs="Times New Roman"/>
          <w:bCs/>
          <w:sz w:val="24"/>
        </w:rPr>
        <w:t>元</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（3）比较价</w:t>
      </w:r>
    </w:p>
    <w:p>
      <w:pPr>
        <w:spacing w:line="400" w:lineRule="atLeast"/>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供应期内“我的钢铁网 (www.mysteel.com)”公布的上月 25 日、本月 5 日、本月15日合肥市场建筑钢材价格行情所对应的马钢、信钢、莱钢永锋HRB400EΦ12及HRB400EΦ25市场价格数据的算术平均值为招标物资对应规格的带肋钢材(HRB400)比较价(上月21日至本月 20日为“供应期”月份)。</w:t>
      </w:r>
    </w:p>
    <w:p>
      <w:pPr>
        <w:spacing w:line="400" w:lineRule="atLeast"/>
        <w:ind w:firstLine="440" w:firstLineChars="200"/>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rPr>
        <w:t>供应期内“我的钢铁网(www.mysteel.com)”公布的上月 25 日、本月 5 日、本月15日合肥市场建筑钢材价格行情所对应的马钢、信钢、莱钢永锋HPB3006-10 市场价格数据的算术平均值为招标物资对应规格的光圆钢材(HPB300)比较价(上月 21至本月 20日为“供应期”月份)。</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（4）结算单价</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结算单价=报价单价+（比较价-基准价）</w:t>
      </w:r>
    </w:p>
    <w:p>
      <w:pPr>
        <w:spacing w:line="400" w:lineRule="atLeast"/>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highlight w:val="none"/>
        </w:rPr>
        <w:t>注：合同执行期间，基准价按财政部税务总局《关于调整增值税税率的通知》（财税〔2018〕32号）规定的的新税率予以换算，换算后的基准价计入调价时基准价，价格调整按同一税率标准计算基准价、比较价。</w:t>
      </w:r>
    </w:p>
    <w:p>
      <w:pPr>
        <w:spacing w:line="400" w:lineRule="atLeast"/>
        <w:ind w:firstLine="440" w:firstLineChars="200"/>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（5）我的钢铁网未公布的规格、品种价格的确定:</w:t>
      </w:r>
    </w:p>
    <w:p>
      <w:pPr>
        <w:spacing w:line="400" w:lineRule="atLeast"/>
        <w:ind w:firstLine="440" w:firstLineChars="200"/>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若《我的钢铁网》当天遇节假日未公布市场价格，则时间向后顺延；若对应的钢厂无信息价，则取剩余钢厂数据算术平均值为比较价；若一日之内同厂家同规格公布有多个市场价格数据的，以第一次公布的市场价格数据为准。 我的钢铁网未公布规格的基准价、比较价比照该网已公布最接近的小规格的基准价、比较价进行确定。没有最接近的小规格时按最接近的大规格确定。</w:t>
      </w:r>
    </w:p>
    <w:p>
      <w:pPr>
        <w:spacing w:line="400" w:lineRule="atLeast"/>
        <w:ind w:firstLine="440" w:firstLineChars="200"/>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（6）约定单价、数量等</w:t>
      </w:r>
    </w:p>
    <w:tbl>
      <w:tblPr>
        <w:tblStyle w:val="19"/>
        <w:tblW w:w="0" w:type="auto"/>
        <w:jc w:val="center"/>
        <w:tblLayout w:type="fixed"/>
        <w:tblCellMar>
          <w:top w:w="0" w:type="dxa"/>
          <w:left w:w="108" w:type="dxa"/>
          <w:bottom w:w="0" w:type="dxa"/>
          <w:right w:w="108" w:type="dxa"/>
        </w:tblCellMar>
      </w:tblPr>
      <w:tblGrid>
        <w:gridCol w:w="778"/>
        <w:gridCol w:w="1510"/>
        <w:gridCol w:w="1511"/>
        <w:gridCol w:w="778"/>
        <w:gridCol w:w="1327"/>
        <w:gridCol w:w="1510"/>
        <w:gridCol w:w="1330"/>
      </w:tblGrid>
      <w:tr>
        <w:tblPrEx>
          <w:tblCellMar>
            <w:top w:w="0" w:type="dxa"/>
            <w:left w:w="108" w:type="dxa"/>
            <w:bottom w:w="0" w:type="dxa"/>
            <w:right w:w="108" w:type="dxa"/>
          </w:tblCellMar>
        </w:tblPrEx>
        <w:trPr>
          <w:trHeight w:val="71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材料品种</w:t>
            </w:r>
          </w:p>
        </w:tc>
        <w:tc>
          <w:tcPr>
            <w:tcW w:w="15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规格型号</w:t>
            </w:r>
          </w:p>
        </w:tc>
        <w:tc>
          <w:tcPr>
            <w:tcW w:w="77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32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5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w:t>
            </w:r>
          </w:p>
        </w:tc>
        <w:tc>
          <w:tcPr>
            <w:tcW w:w="13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w:t>
            </w:r>
          </w:p>
        </w:tc>
      </w:tr>
      <w:tr>
        <w:tblPrEx>
          <w:tblCellMar>
            <w:top w:w="0" w:type="dxa"/>
            <w:left w:w="108" w:type="dxa"/>
            <w:bottom w:w="0" w:type="dxa"/>
            <w:right w:w="108" w:type="dxa"/>
          </w:tblCellMar>
        </w:tblPrEx>
        <w:trPr>
          <w:trHeight w:val="710"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10" w:type="dxa"/>
            <w:vMerge w:val="restart"/>
            <w:tcBorders>
              <w:top w:val="nil"/>
              <w:left w:val="nil"/>
              <w:right w:val="single" w:color="auto" w:sz="4" w:space="0"/>
            </w:tcBorders>
            <w:vAlign w:val="center"/>
          </w:tcPr>
          <w:p>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钢材</w:t>
            </w:r>
          </w:p>
        </w:tc>
        <w:tc>
          <w:tcPr>
            <w:tcW w:w="151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Cs w:val="21"/>
                <w:highlight w:val="none"/>
              </w:rPr>
              <w:t>光圆</w:t>
            </w:r>
            <w:r>
              <w:rPr>
                <w:rFonts w:hint="eastAsia" w:ascii="宋体" w:hAnsi="宋体" w:eastAsia="宋体" w:cs="宋体"/>
                <w:color w:val="auto"/>
                <w:spacing w:val="-1"/>
                <w:szCs w:val="21"/>
                <w:highlight w:val="none"/>
                <w:lang w:eastAsia="zh-CN"/>
              </w:rPr>
              <w:t>钢材</w:t>
            </w:r>
          </w:p>
        </w:tc>
        <w:tc>
          <w:tcPr>
            <w:tcW w:w="778" w:type="dxa"/>
            <w:tcBorders>
              <w:top w:val="nil"/>
              <w:left w:val="nil"/>
              <w:bottom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spacing w:val="-1"/>
                <w:szCs w:val="21"/>
                <w:highlight w:val="none"/>
              </w:rPr>
              <w:t>T</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Times New Roman"/>
                <w:color w:val="auto"/>
                <w:kern w:val="0"/>
                <w:sz w:val="20"/>
                <w:szCs w:val="20"/>
                <w:highlight w:val="none"/>
              </w:rPr>
            </w:pPr>
            <w:r>
              <w:rPr>
                <w:rFonts w:ascii="宋体" w:hAnsi="宋体" w:eastAsia="宋体" w:cs="宋体"/>
                <w:color w:val="auto"/>
                <w:spacing w:val="-1"/>
                <w:szCs w:val="21"/>
                <w:highlight w:val="none"/>
              </w:rPr>
              <w:t>5500</w:t>
            </w:r>
          </w:p>
        </w:tc>
        <w:tc>
          <w:tcPr>
            <w:tcW w:w="15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71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510" w:type="dxa"/>
            <w:vMerge w:val="continue"/>
            <w:tcBorders>
              <w:left w:val="nil"/>
              <w:right w:val="single" w:color="auto" w:sz="4" w:space="0"/>
            </w:tcBorders>
            <w:vAlign w:val="center"/>
          </w:tcPr>
          <w:p>
            <w:pPr>
              <w:jc w:val="center"/>
              <w:rPr>
                <w:rFonts w:ascii="宋体" w:hAnsi="宋体" w:eastAsia="宋体" w:cs="宋体"/>
                <w:color w:val="auto"/>
                <w:kern w:val="0"/>
                <w:szCs w:val="21"/>
                <w:highlight w:val="none"/>
              </w:rPr>
            </w:pPr>
          </w:p>
        </w:tc>
        <w:tc>
          <w:tcPr>
            <w:tcW w:w="1511"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color w:val="auto"/>
                <w:sz w:val="20"/>
                <w:szCs w:val="20"/>
                <w:highlight w:val="none"/>
                <w:lang w:eastAsia="zh-CN"/>
              </w:rPr>
            </w:pPr>
            <w:r>
              <w:rPr>
                <w:rFonts w:hint="eastAsia" w:ascii="宋体" w:hAnsi="宋体" w:eastAsia="宋体" w:cs="宋体"/>
                <w:color w:val="auto"/>
                <w:spacing w:val="-1"/>
                <w:szCs w:val="21"/>
                <w:highlight w:val="none"/>
              </w:rPr>
              <w:t>带肋</w:t>
            </w:r>
            <w:r>
              <w:rPr>
                <w:rFonts w:hint="eastAsia" w:ascii="宋体" w:hAnsi="宋体" w:eastAsia="宋体" w:cs="宋体"/>
                <w:color w:val="auto"/>
                <w:spacing w:val="-1"/>
                <w:szCs w:val="21"/>
                <w:highlight w:val="none"/>
                <w:lang w:eastAsia="zh-CN"/>
              </w:rPr>
              <w:t>钢材</w:t>
            </w:r>
          </w:p>
        </w:tc>
        <w:tc>
          <w:tcPr>
            <w:tcW w:w="778" w:type="dxa"/>
            <w:tcBorders>
              <w:top w:val="nil"/>
              <w:left w:val="nil"/>
              <w:bottom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spacing w:val="-1"/>
                <w:szCs w:val="21"/>
                <w:highlight w:val="none"/>
              </w:rPr>
              <w:t>T</w:t>
            </w:r>
          </w:p>
        </w:tc>
        <w:tc>
          <w:tcPr>
            <w:tcW w:w="1327" w:type="dxa"/>
            <w:tcBorders>
              <w:top w:val="nil"/>
              <w:left w:val="single" w:color="auto" w:sz="4" w:space="0"/>
              <w:bottom w:val="single" w:color="auto" w:sz="4" w:space="0"/>
              <w:right w:val="single" w:color="auto" w:sz="4" w:space="0"/>
            </w:tcBorders>
            <w:vAlign w:val="center"/>
          </w:tcPr>
          <w:p>
            <w:pPr>
              <w:widowControl/>
              <w:jc w:val="center"/>
              <w:textAlignment w:val="center"/>
              <w:rPr>
                <w:rFonts w:ascii="等线" w:hAnsi="等线" w:eastAsia="等线" w:cs="Times New Roman"/>
                <w:color w:val="auto"/>
                <w:sz w:val="20"/>
                <w:szCs w:val="20"/>
                <w:highlight w:val="none"/>
              </w:rPr>
            </w:pPr>
            <w:r>
              <w:rPr>
                <w:rFonts w:ascii="宋体" w:hAnsi="宋体" w:eastAsia="宋体" w:cs="宋体"/>
                <w:color w:val="auto"/>
                <w:kern w:val="0"/>
                <w:szCs w:val="21"/>
                <w:highlight w:val="none"/>
                <w:lang w:bidi="ar"/>
              </w:rPr>
              <w:t>47500</w:t>
            </w:r>
          </w:p>
        </w:tc>
        <w:tc>
          <w:tcPr>
            <w:tcW w:w="15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710"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02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报价报价（3=1+2）</w:t>
            </w:r>
          </w:p>
        </w:tc>
        <w:tc>
          <w:tcPr>
            <w:tcW w:w="494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tc>
      </w:tr>
    </w:tbl>
    <w:p>
      <w:pPr>
        <w:spacing w:line="360" w:lineRule="auto"/>
        <w:rPr>
          <w:rFonts w:ascii="宋体" w:hAnsi="宋体" w:eastAsia="宋体" w:cs="Times New Roman"/>
          <w:bCs/>
          <w:color w:val="auto"/>
          <w:sz w:val="24"/>
          <w:highlight w:val="none"/>
        </w:rPr>
      </w:pPr>
    </w:p>
    <w:p>
      <w:pPr>
        <w:spacing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注：盘螺</w:t>
      </w:r>
      <w:r>
        <w:rPr>
          <w:rFonts w:hint="eastAsia" w:ascii="宋体" w:hAnsi="宋体" w:eastAsia="宋体" w:cs="Times New Roman"/>
          <w:bCs/>
          <w:color w:val="auto"/>
          <w:sz w:val="24"/>
          <w:highlight w:val="none"/>
          <w:lang w:eastAsia="zh-CN"/>
        </w:rPr>
        <w:t>钢材</w:t>
      </w:r>
      <w:r>
        <w:rPr>
          <w:rFonts w:hint="eastAsia" w:ascii="宋体" w:hAnsi="宋体" w:eastAsia="宋体" w:cs="Times New Roman"/>
          <w:bCs/>
          <w:color w:val="auto"/>
          <w:sz w:val="24"/>
          <w:highlight w:val="none"/>
        </w:rPr>
        <w:t>在相应型号</w:t>
      </w:r>
      <w:r>
        <w:rPr>
          <w:rFonts w:ascii="宋体" w:hAnsi="宋体" w:eastAsia="宋体" w:cs="Times New Roman"/>
          <w:bCs/>
          <w:color w:val="auto"/>
          <w:sz w:val="24"/>
          <w:highlight w:val="none"/>
        </w:rPr>
        <w:t>单价</w:t>
      </w:r>
      <w:r>
        <w:rPr>
          <w:rFonts w:hint="eastAsia" w:ascii="宋体" w:hAnsi="宋体" w:eastAsia="宋体" w:cs="Times New Roman"/>
          <w:bCs/>
          <w:color w:val="auto"/>
          <w:sz w:val="24"/>
          <w:highlight w:val="none"/>
        </w:rPr>
        <w:t>基础上增加4</w:t>
      </w:r>
      <w:r>
        <w:rPr>
          <w:rFonts w:ascii="宋体" w:hAnsi="宋体" w:eastAsia="宋体" w:cs="Times New Roman"/>
          <w:bCs/>
          <w:color w:val="auto"/>
          <w:sz w:val="24"/>
          <w:highlight w:val="none"/>
        </w:rPr>
        <w:t>00元</w:t>
      </w:r>
      <w:r>
        <w:rPr>
          <w:rFonts w:hint="eastAsia" w:ascii="宋体" w:hAnsi="宋体" w:eastAsia="宋体" w:cs="Times New Roman"/>
          <w:bCs/>
          <w:color w:val="auto"/>
          <w:sz w:val="24"/>
          <w:highlight w:val="none"/>
        </w:rPr>
        <w:t>/吨。带肋</w:t>
      </w:r>
      <w:r>
        <w:rPr>
          <w:rFonts w:hint="eastAsia" w:ascii="宋体" w:hAnsi="宋体" w:eastAsia="宋体" w:cs="Times New Roman"/>
          <w:bCs/>
          <w:color w:val="auto"/>
          <w:sz w:val="24"/>
          <w:highlight w:val="none"/>
          <w:lang w:eastAsia="zh-CN"/>
        </w:rPr>
        <w:t>钢材</w:t>
      </w:r>
      <w:r>
        <w:rPr>
          <w:rFonts w:hint="eastAsia" w:ascii="宋体" w:hAnsi="宋体" w:eastAsia="宋体" w:cs="Times New Roman"/>
          <w:bCs/>
          <w:color w:val="auto"/>
          <w:sz w:val="24"/>
          <w:highlight w:val="none"/>
        </w:rPr>
        <w:t>定尺为9m或12m。以上供应数量为估算值，供货商应按本项目的实际需求量进行供货，合同执行期间以实际供应量进行计量和结算。供货期为计划供货期，合同执行期间业主可根据施工需要确定具体分月供应数量，并可能对供货时间、供货期、供应量作调整，供货商必须接受。无论供货日期提前或滞后，各类别材料结算价格条款均不作调整。</w:t>
      </w:r>
    </w:p>
    <w:p>
      <w:pPr>
        <w:spacing w:line="360" w:lineRule="auto"/>
        <w:ind w:firstLine="480" w:firstLineChars="200"/>
        <w:rPr>
          <w:rFonts w:ascii="宋体" w:hAnsi="宋体" w:eastAsia="宋体" w:cs="Times New Roman"/>
          <w:bCs/>
          <w:color w:val="auto"/>
          <w:sz w:val="24"/>
          <w:highlight w:val="none"/>
          <w:lang w:bidi="zh-CN"/>
        </w:rPr>
      </w:pPr>
      <w:r>
        <w:rPr>
          <w:rFonts w:hint="eastAsia" w:ascii="宋体" w:hAnsi="宋体" w:eastAsia="宋体" w:cs="Times New Roman"/>
          <w:bCs/>
          <w:color w:val="auto"/>
          <w:sz w:val="24"/>
          <w:highlight w:val="none"/>
          <w:lang w:bidi="zh-CN"/>
        </w:rPr>
        <w:t>（7）</w:t>
      </w:r>
      <w:r>
        <w:rPr>
          <w:rFonts w:ascii="宋体" w:hAnsi="宋体" w:eastAsia="宋体" w:cs="Times New Roman"/>
          <w:bCs/>
          <w:color w:val="auto"/>
          <w:sz w:val="24"/>
          <w:highlight w:val="none"/>
          <w:lang w:bidi="zh-CN"/>
        </w:rPr>
        <w:t>结算币种：人民币。</w:t>
      </w:r>
    </w:p>
    <w:p>
      <w:pPr>
        <w:spacing w:line="360" w:lineRule="auto"/>
        <w:ind w:firstLine="480" w:firstLineChars="200"/>
        <w:rPr>
          <w:rFonts w:ascii="宋体" w:hAnsi="宋体" w:eastAsia="宋体" w:cs="Times New Roman"/>
          <w:bCs/>
          <w:color w:val="auto"/>
          <w:sz w:val="24"/>
          <w:highlight w:val="none"/>
          <w:lang w:bidi="zh-CN"/>
        </w:rPr>
      </w:pPr>
      <w:r>
        <w:rPr>
          <w:rFonts w:hint="eastAsia" w:ascii="宋体" w:hAnsi="宋体" w:eastAsia="宋体" w:cs="Times New Roman"/>
          <w:bCs/>
          <w:color w:val="auto"/>
          <w:sz w:val="24"/>
          <w:highlight w:val="none"/>
          <w:lang w:bidi="zh-CN"/>
        </w:rPr>
        <w:t>（8）</w:t>
      </w:r>
      <w:r>
        <w:rPr>
          <w:rFonts w:ascii="宋体" w:hAnsi="宋体" w:eastAsia="宋体" w:cs="Times New Roman"/>
          <w:bCs/>
          <w:color w:val="auto"/>
          <w:sz w:val="24"/>
          <w:highlight w:val="none"/>
          <w:lang w:bidi="zh-CN"/>
        </w:rPr>
        <w:t>本合同“不含税到场综合单价”包含但不限于材料费、运费、装卸费、包装费、利润、</w:t>
      </w:r>
      <w:r>
        <w:rPr>
          <w:rFonts w:hint="eastAsia" w:ascii="宋体" w:hAnsi="宋体" w:eastAsia="宋体" w:cs="Times New Roman"/>
          <w:bCs/>
          <w:color w:val="auto"/>
          <w:sz w:val="24"/>
          <w:highlight w:val="none"/>
          <w:lang w:bidi="zh-CN"/>
        </w:rPr>
        <w:t>相关</w:t>
      </w:r>
      <w:r>
        <w:rPr>
          <w:rFonts w:ascii="宋体" w:hAnsi="宋体" w:eastAsia="宋体" w:cs="Times New Roman"/>
          <w:bCs/>
          <w:color w:val="auto"/>
          <w:sz w:val="24"/>
          <w:highlight w:val="none"/>
          <w:lang w:bidi="zh-CN"/>
        </w:rPr>
        <w:t>税金、风险及将货物运送到甲方指定地点过程中的一切费用。</w:t>
      </w:r>
    </w:p>
    <w:p>
      <w:pPr>
        <w:spacing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（9）</w:t>
      </w:r>
      <w:r>
        <w:rPr>
          <w:rFonts w:ascii="宋体" w:hAnsi="宋体" w:eastAsia="宋体" w:cs="Times New Roman"/>
          <w:bCs/>
          <w:color w:val="auto"/>
          <w:sz w:val="24"/>
          <w:highlight w:val="none"/>
        </w:rPr>
        <w:t>表中数量为预计数量，结算以实际到场且验收合格的数量为准。</w:t>
      </w:r>
    </w:p>
    <w:p>
      <w:pPr>
        <w:spacing w:line="360" w:lineRule="auto"/>
        <w:ind w:firstLine="480" w:firstLineChars="200"/>
        <w:rPr>
          <w:rFonts w:ascii="宋体" w:hAnsi="宋体" w:eastAsia="宋体" w:cs="Times New Roman"/>
          <w:b/>
          <w:color w:val="auto"/>
          <w:sz w:val="24"/>
          <w:highlight w:val="none"/>
        </w:rPr>
      </w:pPr>
      <w:r>
        <w:rPr>
          <w:rFonts w:hint="eastAsia" w:ascii="宋体" w:hAnsi="宋体" w:eastAsia="宋体" w:cs="Times New Roman"/>
          <w:bCs/>
          <w:color w:val="auto"/>
          <w:sz w:val="24"/>
          <w:highlight w:val="none"/>
        </w:rPr>
        <w:t>（1</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）上述价格为含税单价，税率为1</w:t>
      </w:r>
      <w:r>
        <w:rPr>
          <w:rFonts w:ascii="宋体" w:hAnsi="宋体" w:eastAsia="宋体" w:cs="Times New Roman"/>
          <w:bCs/>
          <w:color w:val="auto"/>
          <w:sz w:val="24"/>
          <w:highlight w:val="none"/>
        </w:rPr>
        <w:t>3</w:t>
      </w:r>
      <w:r>
        <w:rPr>
          <w:rFonts w:hint="eastAsia" w:ascii="宋体" w:hAnsi="宋体" w:eastAsia="宋体" w:cs="Times New Roman"/>
          <w:bCs/>
          <w:color w:val="auto"/>
          <w:sz w:val="24"/>
          <w:highlight w:val="none"/>
        </w:rPr>
        <w:t>%，</w:t>
      </w:r>
      <w:r>
        <w:rPr>
          <w:rFonts w:ascii="宋体" w:hAnsi="宋体" w:eastAsia="宋体" w:cs="Times New Roman"/>
          <w:bCs/>
          <w:color w:val="auto"/>
          <w:sz w:val="24"/>
          <w:highlight w:val="none"/>
        </w:rPr>
        <w:t>整个合同执行过程中不含税部分不作调整，仅随国家增值税税率调整而作相应税额部分调整。</w:t>
      </w:r>
    </w:p>
    <w:p>
      <w:pPr>
        <w:spacing w:line="440" w:lineRule="exact"/>
        <w:ind w:firstLine="482"/>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 xml:space="preserve">二、质量要求及技术标准 </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钢材物理性能化学指标符合现行国家质量标准规范要求。</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钢材</w:t>
      </w:r>
      <w:r>
        <w:rPr>
          <w:rFonts w:ascii="宋体" w:hAnsi="宋体" w:eastAsia="宋体" w:cs="Times New Roman"/>
          <w:color w:val="auto"/>
          <w:sz w:val="24"/>
          <w:highlight w:val="none"/>
        </w:rPr>
        <w:t>的检查和验收按 GB/T1499.1-2017 和 GB/T1499.2-2018 的规定进行，若国家颁布新标准，则按最新标准执行。</w:t>
      </w:r>
    </w:p>
    <w:p>
      <w:pPr>
        <w:widowControl w:val="0"/>
        <w:tabs>
          <w:tab w:val="left" w:pos="3914"/>
        </w:tabs>
        <w:autoSpaceDE w:val="0"/>
        <w:autoSpaceDN w:val="0"/>
        <w:spacing w:before="42" w:line="278" w:lineRule="auto"/>
        <w:ind w:left="0" w:right="3842" w:firstLine="472" w:firstLineChars="196"/>
        <w:jc w:val="left"/>
        <w:outlineLvl w:val="8"/>
        <w:rPr>
          <w:rFonts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三、</w:t>
      </w:r>
      <w:r>
        <w:rPr>
          <w:rFonts w:ascii="宋体" w:hAnsi="宋体" w:eastAsia="宋体" w:cs="Times New Roman"/>
          <w:b/>
          <w:bCs w:val="0"/>
          <w:color w:val="auto"/>
          <w:kern w:val="2"/>
          <w:sz w:val="24"/>
          <w:szCs w:val="24"/>
          <w:highlight w:val="none"/>
          <w:lang w:val="en-US" w:eastAsia="zh-CN" w:bidi="ar-SA"/>
        </w:rPr>
        <w:t>供货期限、交货方式及地点</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供货期限为：</w:t>
      </w:r>
      <w:r>
        <w:rPr>
          <w:rFonts w:hint="eastAsia" w:ascii="宋体" w:hAnsi="宋体" w:eastAsia="宋体" w:cs="Times New Roman"/>
          <w:color w:val="auto"/>
          <w:sz w:val="24"/>
          <w:highlight w:val="none"/>
        </w:rPr>
        <w:t>202</w:t>
      </w:r>
      <w:r>
        <w:rPr>
          <w:rFonts w:ascii="宋体" w:hAnsi="宋体" w:eastAsia="宋体" w:cs="Times New Roman"/>
          <w:color w:val="auto"/>
          <w:sz w:val="24"/>
          <w:highlight w:val="none"/>
        </w:rPr>
        <w:t xml:space="preserve">3年 </w:t>
      </w:r>
      <w:r>
        <w:rPr>
          <w:rFonts w:hint="eastAsia" w:ascii="宋体" w:hAnsi="宋体" w:eastAsia="宋体" w:cs="Times New Roman"/>
          <w:color w:val="auto"/>
          <w:sz w:val="24"/>
          <w:highlight w:val="none"/>
          <w:lang w:val="en-US" w:eastAsia="zh-CN"/>
        </w:rPr>
        <w:t>11</w:t>
      </w:r>
      <w:r>
        <w:rPr>
          <w:rFonts w:ascii="宋体" w:hAnsi="宋体" w:eastAsia="宋体" w:cs="Times New Roman"/>
          <w:color w:val="auto"/>
          <w:sz w:val="24"/>
          <w:highlight w:val="none"/>
        </w:rPr>
        <w:t>月至本项目施工结束，具体每批进场时间以甲方计划通知为准；货物运输由乙方负责，货物到达交货地点过程中的一切费用、责任及风险由乙方承担；合同签订前，乙方应确保已经知悉产品运输的交通状况、交货卸车环境</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有关民风民俗以及政府的交通管制政策措施，不得以此作为逾期交货的抗辩理由；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货物达到交货地点后的卸车由甲方负责并承担相关费用。</w:t>
      </w:r>
      <w:r>
        <w:rPr>
          <w:rFonts w:hint="eastAsia" w:ascii="宋体" w:hAnsi="宋体" w:eastAsia="宋体" w:cs="Times New Roman"/>
          <w:color w:val="auto"/>
          <w:sz w:val="24"/>
          <w:highlight w:val="none"/>
        </w:rPr>
        <w:t>）</w:t>
      </w:r>
    </w:p>
    <w:p>
      <w:pPr>
        <w:spacing w:line="440" w:lineRule="exact"/>
        <w:ind w:firstLine="480"/>
        <w:textAlignment w:val="baseline"/>
        <w:rPr>
          <w:rFonts w:ascii="宋体" w:hAnsi="宋体" w:eastAsia="宋体" w:cs="Times New Roman"/>
          <w:color w:val="auto"/>
          <w:sz w:val="24"/>
          <w:highlight w:val="none"/>
        </w:rPr>
      </w:pPr>
      <w:r>
        <w:rPr>
          <w:rFonts w:hint="eastAsia" w:ascii="宋体" w:hAnsi="宋体" w:eastAsia="宋体" w:cs="Times New Roman"/>
          <w:color w:val="auto"/>
          <w:sz w:val="24"/>
          <w:highlight w:val="none"/>
        </w:rPr>
        <w:t>交货时间：乙方收到甲方的供货计划通知后，在3日内及时将产品送到太蕲高速安徽段路基项目部指定交货地点。</w:t>
      </w:r>
    </w:p>
    <w:p>
      <w:pPr>
        <w:spacing w:line="440" w:lineRule="exact"/>
        <w:ind w:firstLine="519"/>
        <w:rPr>
          <w:rFonts w:ascii="宋体" w:hAnsi="宋体" w:eastAsia="宋体" w:cs="Times New Roman"/>
          <w:b/>
          <w:bCs/>
          <w:color w:val="auto"/>
          <w:sz w:val="24"/>
          <w:highlight w:val="none"/>
        </w:rPr>
      </w:pPr>
      <w:r>
        <w:rPr>
          <w:rFonts w:ascii="宋体" w:hAnsi="宋体" w:eastAsia="宋体" w:cs="Times New Roman"/>
          <w:b/>
          <w:color w:val="auto"/>
          <w:sz w:val="24"/>
          <w:highlight w:val="none"/>
        </w:rPr>
        <w:t>交货地点为：</w:t>
      </w:r>
      <w:r>
        <w:rPr>
          <w:rFonts w:hint="eastAsia" w:ascii="宋体" w:hAnsi="宋体" w:eastAsia="宋体" w:cs="宋体"/>
          <w:b/>
          <w:bCs/>
          <w:color w:val="auto"/>
          <w:sz w:val="24"/>
          <w:highlight w:val="none"/>
          <w:u w:val="single"/>
          <w:lang w:val="en-US" w:eastAsia="zh-CN"/>
        </w:rPr>
        <w:t xml:space="preserve">        </w:t>
      </w:r>
      <w:r>
        <w:rPr>
          <w:rFonts w:ascii="宋体" w:hAnsi="宋体" w:eastAsia="宋体" w:cs="Times New Roman"/>
          <w:b/>
          <w:bCs/>
          <w:color w:val="auto"/>
          <w:sz w:val="24"/>
          <w:highlight w:val="none"/>
        </w:rPr>
        <w:t>。</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四、</w:t>
      </w:r>
      <w:r>
        <w:rPr>
          <w:rFonts w:ascii="宋体" w:hAnsi="宋体" w:eastAsia="宋体" w:cs="Times New Roman"/>
          <w:b/>
          <w:color w:val="auto"/>
          <w:sz w:val="24"/>
          <w:highlight w:val="none"/>
        </w:rPr>
        <w:t>质量验收方法</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质量证明书（质保书）:每批交货产品检验合格所附的证明文件。其内容包括材料名称、牌号、规格、质量等级、合同和标准规定的全部检验项目的检验结果、合同号、标准号、检验批号、交货件数、重量等。质量证明书是重要的技术文件必须随货同行，必须加盖生产厂家印章。</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质量证明文件齐全后项目部将会同监理按相关规定进行抽检，如抽检不合格，</w:t>
      </w:r>
      <w:r>
        <w:rPr>
          <w:rFonts w:hint="eastAsia" w:ascii="Times New Roman"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项目部有权拒绝收货，由此造成的一切损失由乙方负责。</w:t>
      </w:r>
      <w:r>
        <w:rPr>
          <w:rFonts w:hint="eastAsia" w:ascii="Times New Roman"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项目部，不免除乙方对产品质量的后续责任承担。</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五、</w:t>
      </w:r>
      <w:r>
        <w:rPr>
          <w:rFonts w:ascii="宋体" w:hAnsi="宋体" w:eastAsia="宋体" w:cs="Times New Roman"/>
          <w:b/>
          <w:color w:val="auto"/>
          <w:sz w:val="24"/>
          <w:highlight w:val="none"/>
        </w:rPr>
        <w:t>数量验收方法</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螺纹</w:t>
      </w:r>
      <w:r>
        <w:rPr>
          <w:rFonts w:ascii="宋体" w:hAnsi="宋体" w:eastAsia="宋体" w:cs="Times New Roman"/>
          <w:color w:val="auto"/>
          <w:sz w:val="24"/>
          <w:highlight w:val="none"/>
        </w:rPr>
        <w:t>理计</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线材和盘螺过磅，若乙方对</w:t>
      </w:r>
      <w:r>
        <w:rPr>
          <w:rFonts w:hint="eastAsia" w:ascii="宋体" w:hAnsi="宋体" w:eastAsia="宋体" w:cs="Times New Roman"/>
          <w:color w:val="auto"/>
          <w:sz w:val="24"/>
          <w:highlight w:val="none"/>
        </w:rPr>
        <w:t>过磅</w:t>
      </w:r>
      <w:r>
        <w:rPr>
          <w:rFonts w:ascii="宋体" w:hAnsi="宋体" w:eastAsia="宋体" w:cs="Times New Roman"/>
          <w:color w:val="auto"/>
          <w:sz w:val="24"/>
          <w:highlight w:val="none"/>
        </w:rPr>
        <w:t>数量有异议时，由</w:t>
      </w:r>
      <w:r>
        <w:rPr>
          <w:rFonts w:hint="eastAsia" w:ascii="Times New Roman"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项目部乙方共同选择双方认可的第三方进行复磅（复磅应选择技术监督局检验合格且距离施工现场较近的公磅处进行），复磅数量与送货单数量之差若不超过±3‰范围，以乙方送货单数量为准；若超出±3‰范围，则以复磅数量为准，复磅发生的费用由</w:t>
      </w:r>
      <w:r>
        <w:rPr>
          <w:rFonts w:hint="eastAsia" w:ascii="宋体" w:hAnsi="宋体" w:eastAsia="宋体" w:cs="Times New Roman"/>
          <w:color w:val="auto"/>
          <w:sz w:val="24"/>
          <w:highlight w:val="none"/>
        </w:rPr>
        <w:t>过错方</w:t>
      </w:r>
      <w:r>
        <w:rPr>
          <w:rFonts w:ascii="宋体" w:hAnsi="宋体" w:eastAsia="宋体" w:cs="Times New Roman"/>
          <w:color w:val="auto"/>
          <w:sz w:val="24"/>
          <w:highlight w:val="none"/>
        </w:rPr>
        <w:t>负责。</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甲方委托</w:t>
      </w:r>
      <w:r>
        <w:rPr>
          <w:rFonts w:hint="eastAsia" w:ascii="Times New Roman"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项目部</w:t>
      </w:r>
      <w:r>
        <w:rPr>
          <w:rFonts w:hint="eastAsia" w:ascii="宋体" w:hAnsi="宋体" w:eastAsia="宋体" w:cs="Times New Roman"/>
          <w:color w:val="auto"/>
          <w:sz w:val="24"/>
          <w:highlight w:val="none"/>
        </w:rPr>
        <w:t>授权人员签认的收料单作为甲乙双方结算货款的凭据。项目部授权人员甲方另行出具《委托收货函》 ；其它人员填写签认的收料单及涂改无效。如需变更新增相关人员甲方应书面通知乙方。</w:t>
      </w:r>
    </w:p>
    <w:p>
      <w:pPr>
        <w:spacing w:line="440" w:lineRule="exact"/>
        <w:ind w:firstLine="480"/>
        <w:textAlignment w:val="baseline"/>
        <w:rPr>
          <w:rFonts w:ascii="宋体" w:hAnsi="宋体" w:eastAsia="宋体" w:cs="Times New Roman"/>
          <w:color w:val="auto"/>
          <w:sz w:val="24"/>
          <w:highlight w:val="none"/>
        </w:rPr>
      </w:pPr>
      <w:r>
        <w:rPr>
          <w:rFonts w:hint="eastAsia" w:ascii="宋体" w:hAnsi="宋体" w:eastAsia="宋体" w:cs="Times New Roman"/>
          <w:color w:val="auto"/>
          <w:sz w:val="24"/>
          <w:highlight w:val="none"/>
        </w:rPr>
        <w:t>对账单由甲乙双方指定授权人签字确认，乙方授权人姓名：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，联系方式：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；甲方授权人姓名：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，联系方式：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签字确认</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。其它人员非授权人员签字或涂改的对账单无效，如需变更新增相关人员须出具所属公司盖章的授权委托书。</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六、</w:t>
      </w:r>
      <w:r>
        <w:rPr>
          <w:rFonts w:ascii="宋体" w:hAnsi="宋体" w:eastAsia="宋体" w:cs="Times New Roman"/>
          <w:b/>
          <w:color w:val="auto"/>
          <w:sz w:val="24"/>
          <w:highlight w:val="none"/>
        </w:rPr>
        <w:t>质量及数量异议的处理</w:t>
      </w:r>
    </w:p>
    <w:p>
      <w:pPr>
        <w:keepNext w:val="0"/>
        <w:keepLines w:val="0"/>
        <w:pageBreakBefore w:val="0"/>
        <w:widowControl w:val="0"/>
        <w:kinsoku/>
        <w:wordWrap w:val="0"/>
        <w:overflowPunct/>
        <w:topLinePunct/>
        <w:autoSpaceDE/>
        <w:autoSpaceDN/>
        <w:bidi w:val="0"/>
        <w:adjustRightInd/>
        <w:snapToGrid/>
        <w:spacing w:line="440" w:lineRule="exact"/>
        <w:ind w:left="239" w:leftChars="114" w:firstLine="352" w:firstLineChars="147"/>
        <w:textAlignment w:val="auto"/>
        <w:rPr>
          <w:rFonts w:ascii="宋体" w:hAnsi="宋体" w:eastAsia="宋体" w:cs="Times New Roman"/>
          <w:b/>
          <w:color w:val="auto"/>
          <w:sz w:val="24"/>
          <w:highlight w:val="none"/>
        </w:rPr>
      </w:pPr>
      <w:r>
        <w:rPr>
          <w:rFonts w:ascii="宋体" w:hAnsi="宋体" w:eastAsia="宋体" w:cs="Times New Roman"/>
          <w:color w:val="auto"/>
          <w:sz w:val="24"/>
          <w:highlight w:val="none"/>
        </w:rPr>
        <w:t>按第</w:t>
      </w:r>
      <w:r>
        <w:rPr>
          <w:rFonts w:hint="eastAsia" w:ascii="宋体" w:hAnsi="宋体" w:eastAsia="宋体" w:cs="Times New Roman"/>
          <w:color w:val="auto"/>
          <w:sz w:val="24"/>
          <w:highlight w:val="none"/>
        </w:rPr>
        <w:t>四</w:t>
      </w:r>
      <w:r>
        <w:rPr>
          <w:rFonts w:ascii="宋体" w:hAnsi="宋体" w:eastAsia="宋体" w:cs="Times New Roman"/>
          <w:color w:val="auto"/>
          <w:sz w:val="24"/>
          <w:highlight w:val="none"/>
        </w:rPr>
        <w:t>条和第</w:t>
      </w:r>
      <w:r>
        <w:rPr>
          <w:rFonts w:hint="eastAsia" w:ascii="宋体" w:hAnsi="宋体" w:eastAsia="宋体" w:cs="Times New Roman"/>
          <w:color w:val="auto"/>
          <w:sz w:val="24"/>
          <w:highlight w:val="none"/>
        </w:rPr>
        <w:t>五</w:t>
      </w:r>
      <w:r>
        <w:rPr>
          <w:rFonts w:ascii="宋体" w:hAnsi="宋体" w:eastAsia="宋体" w:cs="Times New Roman"/>
          <w:color w:val="auto"/>
          <w:sz w:val="24"/>
          <w:highlight w:val="none"/>
        </w:rPr>
        <w:t>条约定的标准验收，数量异议在货到验收当日提出，</w:t>
      </w:r>
      <w:r>
        <w:rPr>
          <w:rFonts w:ascii="宋体" w:hAnsi="宋体" w:eastAsia="宋体" w:cs="宋体"/>
          <w:color w:val="auto"/>
          <w:sz w:val="24"/>
          <w:highlight w:val="none"/>
        </w:rPr>
        <w:t>由</w:t>
      </w:r>
      <w:r>
        <w:rPr>
          <w:rFonts w:hint="eastAsia" w:ascii="Times New Roman" w:hAnsi="宋体" w:eastAsia="宋体" w:cs="Times New Roman"/>
          <w:color w:val="auto"/>
          <w:sz w:val="24"/>
          <w:highlight w:val="none"/>
          <w:u w:val="single"/>
          <w:lang w:val="en-US" w:eastAsia="zh-CN"/>
        </w:rPr>
        <w:t xml:space="preserve">   </w:t>
      </w:r>
      <w:r>
        <w:rPr>
          <w:rFonts w:ascii="宋体" w:hAnsi="宋体" w:eastAsia="宋体" w:cs="宋体"/>
          <w:color w:val="auto"/>
          <w:sz w:val="24"/>
          <w:highlight w:val="none"/>
        </w:rPr>
        <w:t>项目部</w:t>
      </w:r>
      <w:r>
        <w:rPr>
          <w:rFonts w:hint="eastAsia" w:ascii="宋体" w:hAnsi="宋体" w:eastAsia="宋体" w:cs="Times New Roman"/>
          <w:color w:val="auto"/>
          <w:sz w:val="24"/>
          <w:highlight w:val="none"/>
        </w:rPr>
        <w:t>和乙方</w:t>
      </w:r>
      <w:r>
        <w:rPr>
          <w:rFonts w:ascii="宋体" w:hAnsi="宋体" w:eastAsia="宋体" w:cs="Times New Roman"/>
          <w:color w:val="auto"/>
          <w:sz w:val="24"/>
          <w:highlight w:val="none"/>
        </w:rPr>
        <w:t>双方当场处理；质量异议在货到七日内由甲方书面提出，乙方在接到通知后 24小时内到场处理，如不作回应则视为认同甲方意见。</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七、</w:t>
      </w:r>
      <w:r>
        <w:rPr>
          <w:rFonts w:ascii="宋体" w:hAnsi="宋体" w:eastAsia="宋体" w:cs="Times New Roman"/>
          <w:b/>
          <w:color w:val="auto"/>
          <w:sz w:val="24"/>
          <w:highlight w:val="none"/>
        </w:rPr>
        <w:t>质量保证期</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乙方在实体工程设计使用年限内承担质量责任，如因钢材质量问题造成的一切责任，均由乙方承担。</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八</w:t>
      </w:r>
      <w:r>
        <w:rPr>
          <w:rFonts w:ascii="宋体" w:hAnsi="宋体" w:eastAsia="宋体" w:cs="Times New Roman"/>
          <w:b/>
          <w:color w:val="auto"/>
          <w:sz w:val="24"/>
          <w:highlight w:val="none"/>
        </w:rPr>
        <w:t>、 税费</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乙方履行合同过程中的一切税费由乙方承担并按国家有关规定缴纳，合同结算采用一票制，增值税专用发票税率为</w:t>
      </w:r>
      <w:r>
        <w:rPr>
          <w:rFonts w:hint="eastAsia" w:ascii="宋体" w:hAnsi="宋体" w:eastAsia="宋体" w:cs="Times New Roman"/>
          <w:color w:val="auto"/>
          <w:sz w:val="24"/>
          <w:highlight w:val="none"/>
        </w:rPr>
        <w:t>13</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当国家税率发生变化时，以国家规定的最新税率为准调整</w:t>
      </w:r>
      <w:r>
        <w:rPr>
          <w:rFonts w:hint="eastAsia" w:ascii="宋体" w:hAnsi="宋体" w:eastAsia="宋体" w:cs="Times New Roman"/>
          <w:color w:val="auto"/>
          <w:sz w:val="24"/>
          <w:highlight w:val="none"/>
        </w:rPr>
        <w:t>合同</w:t>
      </w:r>
      <w:r>
        <w:rPr>
          <w:rFonts w:ascii="宋体" w:hAnsi="宋体" w:eastAsia="宋体" w:cs="Times New Roman"/>
          <w:color w:val="auto"/>
          <w:sz w:val="24"/>
          <w:highlight w:val="none"/>
        </w:rPr>
        <w:t>含税价格。</w:t>
      </w:r>
    </w:p>
    <w:p>
      <w:pPr>
        <w:spacing w:line="440" w:lineRule="exact"/>
        <w:ind w:firstLine="51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九</w:t>
      </w:r>
      <w:r>
        <w:rPr>
          <w:rFonts w:ascii="宋体" w:hAnsi="宋体" w:eastAsia="宋体" w:cs="Times New Roman"/>
          <w:b/>
          <w:color w:val="auto"/>
          <w:sz w:val="24"/>
          <w:highlight w:val="none"/>
        </w:rPr>
        <w:t>、 结算及付款</w:t>
      </w:r>
    </w:p>
    <w:p>
      <w:pPr>
        <w:spacing w:line="400" w:lineRule="atLeast"/>
        <w:ind w:firstLine="480" w:firstLineChars="200"/>
        <w:rPr>
          <w:rFonts w:hint="eastAsia" w:ascii="Times New Roman" w:hAnsi="Times New Roman" w:eastAsia="宋体" w:cs="Times New Roman"/>
          <w:color w:val="auto"/>
          <w:sz w:val="22"/>
          <w:szCs w:val="22"/>
          <w:highlight w:val="none"/>
        </w:rPr>
      </w:pPr>
      <w:r>
        <w:rPr>
          <w:rFonts w:hint="eastAsia" w:ascii="宋体" w:hAnsi="宋体" w:eastAsia="宋体" w:cs="Times New Roman"/>
          <w:color w:val="auto"/>
          <w:sz w:val="24"/>
          <w:highlight w:val="none"/>
        </w:rPr>
        <w:t>1、</w:t>
      </w:r>
      <w:r>
        <w:rPr>
          <w:rFonts w:hint="eastAsia" w:ascii="Times New Roman" w:hAnsi="Times New Roman" w:eastAsia="宋体" w:cs="Times New Roman"/>
          <w:color w:val="auto"/>
          <w:sz w:val="22"/>
          <w:szCs w:val="22"/>
          <w:highlight w:val="none"/>
        </w:rPr>
        <w:t>（1）货到付款，产品送达工地并经现场检验合格后，发包人将按月进行计量与支付；结算周期：上个月2</w:t>
      </w:r>
      <w:r>
        <w:rPr>
          <w:rFonts w:ascii="Times New Roman" w:hAnsi="Times New Roman" w:eastAsia="宋体" w:cs="Times New Roman"/>
          <w:color w:val="auto"/>
          <w:sz w:val="22"/>
          <w:szCs w:val="22"/>
          <w:highlight w:val="none"/>
        </w:rPr>
        <w:t>1</w:t>
      </w:r>
      <w:r>
        <w:rPr>
          <w:rFonts w:hint="eastAsia" w:ascii="Times New Roman" w:hAnsi="Times New Roman" w:eastAsia="宋体" w:cs="Times New Roman"/>
          <w:color w:val="auto"/>
          <w:sz w:val="22"/>
          <w:szCs w:val="22"/>
          <w:highlight w:val="none"/>
        </w:rPr>
        <w:t>日至本月2</w:t>
      </w:r>
      <w:r>
        <w:rPr>
          <w:rFonts w:ascii="Times New Roman" w:hAnsi="Times New Roman" w:eastAsia="宋体" w:cs="Times New Roman"/>
          <w:color w:val="auto"/>
          <w:sz w:val="22"/>
          <w:szCs w:val="22"/>
          <w:highlight w:val="none"/>
        </w:rPr>
        <w:t>0</w:t>
      </w:r>
      <w:r>
        <w:rPr>
          <w:rFonts w:hint="eastAsia" w:ascii="Times New Roman" w:hAnsi="Times New Roman" w:eastAsia="宋体" w:cs="Times New Roman"/>
          <w:color w:val="auto"/>
          <w:sz w:val="22"/>
          <w:szCs w:val="22"/>
          <w:highlight w:val="none"/>
        </w:rPr>
        <w:t>日；当期结算货款在</w:t>
      </w:r>
      <w:r>
        <w:rPr>
          <w:rFonts w:hint="eastAsia" w:ascii="Times New Roman" w:hAnsi="Times New Roman" w:eastAsia="宋体" w:cs="Times New Roman"/>
          <w:color w:val="auto"/>
          <w:sz w:val="22"/>
          <w:szCs w:val="22"/>
          <w:highlight w:val="none"/>
          <w:lang w:val="en-US" w:eastAsia="zh-CN"/>
        </w:rPr>
        <w:t>次</w:t>
      </w:r>
      <w:r>
        <w:rPr>
          <w:rFonts w:hint="eastAsia" w:ascii="Times New Roman" w:hAnsi="Times New Roman" w:eastAsia="宋体" w:cs="Times New Roman"/>
          <w:color w:val="auto"/>
          <w:sz w:val="22"/>
          <w:szCs w:val="22"/>
          <w:highlight w:val="none"/>
        </w:rPr>
        <w:t>月底前支付1</w:t>
      </w:r>
      <w:r>
        <w:rPr>
          <w:rFonts w:ascii="Times New Roman" w:hAnsi="Times New Roman" w:eastAsia="宋体" w:cs="Times New Roman"/>
          <w:color w:val="auto"/>
          <w:sz w:val="22"/>
          <w:szCs w:val="22"/>
          <w:highlight w:val="none"/>
        </w:rPr>
        <w:t>00</w:t>
      </w:r>
      <w:r>
        <w:rPr>
          <w:rFonts w:hint="eastAsia" w:ascii="Times New Roman" w:hAnsi="Times New Roman" w:eastAsia="宋体" w:cs="Times New Roman"/>
          <w:color w:val="auto"/>
          <w:sz w:val="22"/>
          <w:szCs w:val="22"/>
          <w:highlight w:val="none"/>
        </w:rPr>
        <w:t>%；</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乙方按甲方确认的结算金额和要求出具足额的增值税专用发票，与甲方办理当期结算后，甲方扣减预结算金额后支付乙方本月结算剩余货款。如乙方未及时对账并足额提供发票或发票不符合要求，甲方有权拒绝结算，且不承担任何违约责任。增值税专用发票开票信息如下：</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单位名称：</w:t>
      </w:r>
      <w:r>
        <w:rPr>
          <w:rFonts w:ascii="宋体" w:hAnsi="宋体" w:eastAsia="宋体" w:cs="Times New Roman"/>
          <w:color w:val="auto"/>
          <w:sz w:val="24"/>
          <w:highlight w:val="none"/>
        </w:rPr>
        <w:t xml:space="preserve"> </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纳税人识别号（税号）：</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开户行：</w:t>
      </w:r>
      <w:r>
        <w:rPr>
          <w:rFonts w:ascii="宋体" w:hAnsi="宋体" w:eastAsia="宋体" w:cs="Times New Roman"/>
          <w:color w:val="auto"/>
          <w:sz w:val="24"/>
          <w:highlight w:val="none"/>
        </w:rPr>
        <w:t xml:space="preserve"> </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账号：</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地址：</w:t>
      </w:r>
      <w:r>
        <w:rPr>
          <w:rFonts w:ascii="宋体" w:hAnsi="宋体" w:eastAsia="宋体" w:cs="Times New Roman"/>
          <w:color w:val="auto"/>
          <w:sz w:val="24"/>
          <w:highlight w:val="none"/>
        </w:rPr>
        <w:t xml:space="preserve"> </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电话：</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备注栏：请备注相应项目简称</w:t>
      </w:r>
      <w:r>
        <w:rPr>
          <w:rFonts w:ascii="宋体" w:hAnsi="宋体" w:eastAsia="宋体" w:cs="Times New Roman"/>
          <w:color w:val="auto"/>
          <w:sz w:val="24"/>
          <w:highlight w:val="none"/>
        </w:rPr>
        <w:tab/>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2、付款方式：乙方与甲方对账并办理结算后，甲方将在结算后的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个</w:t>
      </w:r>
      <w:r>
        <w:rPr>
          <w:rFonts w:hint="eastAsia" w:ascii="宋体" w:hAnsi="宋体" w:eastAsia="宋体" w:cs="Times New Roman"/>
          <w:color w:val="auto"/>
          <w:sz w:val="24"/>
          <w:highlight w:val="none"/>
        </w:rPr>
        <w:t>工作日内</w:t>
      </w:r>
      <w:r>
        <w:rPr>
          <w:rFonts w:ascii="宋体" w:hAnsi="宋体" w:eastAsia="宋体" w:cs="Times New Roman"/>
          <w:color w:val="auto"/>
          <w:sz w:val="24"/>
          <w:highlight w:val="none"/>
        </w:rPr>
        <w:t>支付乙方应付货款</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货款以电汇方式支付，若经甲乙双方友好协商且乙方同意后，甲方可使用乙方认可的银行承兑汇票、国内</w:t>
      </w:r>
      <w:r>
        <w:rPr>
          <w:rFonts w:hint="eastAsia" w:ascii="宋体" w:hAnsi="宋体" w:eastAsia="宋体" w:cs="Times New Roman"/>
          <w:color w:val="auto"/>
          <w:sz w:val="24"/>
          <w:highlight w:val="none"/>
        </w:rPr>
        <w:t>信用</w:t>
      </w:r>
      <w:r>
        <w:rPr>
          <w:rFonts w:ascii="宋体" w:hAnsi="宋体" w:eastAsia="宋体" w:cs="Times New Roman"/>
          <w:color w:val="auto"/>
          <w:sz w:val="24"/>
          <w:highlight w:val="none"/>
        </w:rPr>
        <w:t>证等方式支付，由此产生的贴息、手续费及相关税金由甲方承担。以上付款均以转账方式汇至乙方以下合同约定账户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如甲方以电汇以外的方式支付，收款银行以甲乙方协商确认为准。</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开户行： </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账 户： </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账 号 ：</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 包装标准及包装物的回收</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按照国家标准执行，包装物不回收。</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一</w:t>
      </w:r>
      <w:r>
        <w:rPr>
          <w:rFonts w:ascii="宋体" w:hAnsi="宋体" w:eastAsia="宋体" w:cs="Times New Roman"/>
          <w:b/>
          <w:color w:val="auto"/>
          <w:sz w:val="24"/>
          <w:highlight w:val="none"/>
        </w:rPr>
        <w:t>、 不可抗力</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1、不可抗力是指合同当事人不能预见、不能避免</w:t>
      </w:r>
      <w:r>
        <w:rPr>
          <w:rFonts w:hint="eastAsia" w:ascii="宋体" w:hAnsi="宋体" w:eastAsia="宋体" w:cs="Times New Roman"/>
          <w:color w:val="auto"/>
          <w:sz w:val="24"/>
          <w:highlight w:val="none"/>
        </w:rPr>
        <w:t>并</w:t>
      </w:r>
      <w:r>
        <w:rPr>
          <w:rFonts w:ascii="宋体" w:hAnsi="宋体" w:eastAsia="宋体" w:cs="Times New Roman"/>
          <w:color w:val="auto"/>
          <w:sz w:val="24"/>
          <w:highlight w:val="none"/>
        </w:rPr>
        <w:t>不能克服的</w:t>
      </w:r>
      <w:r>
        <w:rPr>
          <w:rFonts w:hint="eastAsia" w:ascii="宋体" w:hAnsi="宋体" w:eastAsia="宋体" w:cs="Times New Roman"/>
          <w:color w:val="auto"/>
          <w:sz w:val="24"/>
          <w:highlight w:val="none"/>
        </w:rPr>
        <w:t>客观</w:t>
      </w:r>
      <w:r>
        <w:rPr>
          <w:rFonts w:ascii="宋体" w:hAnsi="宋体" w:eastAsia="宋体" w:cs="Times New Roman"/>
          <w:color w:val="auto"/>
          <w:sz w:val="24"/>
          <w:highlight w:val="none"/>
        </w:rPr>
        <w:t>情况。</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2、遇有不可抗力的一方，应在三日内将事件的情况以书面形式通知另一方，并在事件发生后十日内，向另一方提交合同不能履行或部分不能履行或需要延期履行理由的报告。</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3、不可抗力事件结束后可以继续履行全部或者部分合同的，应当继续履行；不能继续履行的，合同终止。因不可抗力事件造成的损失由受损失一方承担。</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二</w:t>
      </w:r>
      <w:r>
        <w:rPr>
          <w:rFonts w:ascii="宋体" w:hAnsi="宋体" w:eastAsia="宋体" w:cs="Times New Roman"/>
          <w:b/>
          <w:color w:val="auto"/>
          <w:sz w:val="24"/>
          <w:highlight w:val="none"/>
        </w:rPr>
        <w:t>、 合同的变更与解除</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（一）经双方协商一致可以变更或解除合同。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（二）发生下列情形之一的，可以解除合同。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1、因不可抗力致使合同不能履行。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2、乙方未按计划期限供货，经催告（</w:t>
      </w:r>
      <w:r>
        <w:rPr>
          <w:rFonts w:hint="eastAsia" w:ascii="宋体" w:hAnsi="宋体" w:eastAsia="宋体" w:cs="Times New Roman"/>
          <w:color w:val="auto"/>
          <w:sz w:val="24"/>
          <w:highlight w:val="none"/>
        </w:rPr>
        <w:t>3</w:t>
      </w:r>
      <w:r>
        <w:rPr>
          <w:rFonts w:ascii="宋体" w:hAnsi="宋体" w:eastAsia="宋体" w:cs="Times New Roman"/>
          <w:color w:val="auto"/>
          <w:sz w:val="24"/>
          <w:highlight w:val="none"/>
        </w:rPr>
        <w:t>）次仍未交货，甲方有权解除合同。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3、乙方明确表示不履行合同义务或乙方所交付的任何一批货物质量不符合双方的质量约定，在甲方要求的时间内未完成更换，甲方有权解除合同。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4、未经甲方书面同意，乙方不得将本合同的权利义务转让给任何第三方，否则甲方有权解除合同。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（三）合同变更或解除，不免除违约方应承担的违约责任。</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 十</w:t>
      </w:r>
      <w:r>
        <w:rPr>
          <w:rFonts w:hint="eastAsia" w:ascii="宋体" w:hAnsi="宋体" w:eastAsia="宋体" w:cs="Times New Roman"/>
          <w:b/>
          <w:color w:val="auto"/>
          <w:sz w:val="24"/>
          <w:highlight w:val="none"/>
        </w:rPr>
        <w:t>三</w:t>
      </w:r>
      <w:r>
        <w:rPr>
          <w:rFonts w:ascii="宋体" w:hAnsi="宋体" w:eastAsia="宋体" w:cs="Times New Roman"/>
          <w:b/>
          <w:color w:val="auto"/>
          <w:sz w:val="24"/>
          <w:highlight w:val="none"/>
        </w:rPr>
        <w:t>、 违约责任</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1、若乙方不能按用料计划供货或货物不符合质量要求，乙方应赔偿由此给甲方造成的一切直接、间接损失。</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2、由乙方承担的违约责任及赔偿，甲方可从应付货款中扣除。</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3、严禁乙方将本合同约定的钢材供应转让或分包给其他供应单位，否则视为乙方严重违约，甲方有权单方面解除合同。</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4、</w:t>
      </w:r>
      <w:r>
        <w:rPr>
          <w:rFonts w:hint="eastAsia" w:ascii="宋体" w:hAnsi="宋体" w:eastAsia="宋体" w:cs="Times New Roman"/>
          <w:color w:val="auto"/>
          <w:sz w:val="24"/>
          <w:highlight w:val="none"/>
        </w:rPr>
        <w:t>甲方负责与项目结算、催款并严格按照合同约定向乙方办理支付。如甲方逾期支付货款，乙方可停供。</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5、甲方须保证交货地点能正常进行运输、存放、装卸，并及时办理验收交接手续，由此导致乙方不能按时交货的，乙方不承担责任。</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四</w:t>
      </w:r>
      <w:r>
        <w:rPr>
          <w:rFonts w:ascii="宋体" w:hAnsi="宋体" w:eastAsia="宋体" w:cs="Times New Roman"/>
          <w:b/>
          <w:color w:val="auto"/>
          <w:sz w:val="24"/>
          <w:highlight w:val="none"/>
        </w:rPr>
        <w:t>、 双方的联系地址及人员</w:t>
      </w:r>
    </w:p>
    <w:p>
      <w:pPr>
        <w:spacing w:line="44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 甲方联系及邮寄地址：</w:t>
      </w:r>
      <w:r>
        <w:rPr>
          <w:rFonts w:hint="eastAsia" w:ascii="宋体" w:hAnsi="宋体" w:eastAsia="宋体" w:cs="Times New Roman"/>
          <w:color w:val="auto"/>
          <w:sz w:val="24"/>
          <w:highlight w:val="none"/>
        </w:rPr>
        <w:t xml:space="preserve"> </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联系人： </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身份证号码：</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联系电话：</w:t>
      </w:r>
      <w:r>
        <w:rPr>
          <w:rFonts w:ascii="宋体" w:hAnsi="宋体" w:eastAsia="宋体" w:cs="Times New Roman"/>
          <w:color w:val="auto"/>
          <w:sz w:val="24"/>
          <w:highlight w:val="none"/>
        </w:rPr>
        <w:tab/>
      </w:r>
    </w:p>
    <w:p>
      <w:pPr>
        <w:spacing w:line="440" w:lineRule="exact"/>
        <w:ind w:firstLine="519"/>
        <w:rPr>
          <w:rFonts w:ascii="宋体" w:hAnsi="宋体" w:eastAsia="宋体" w:cs="宋体"/>
          <w:color w:val="auto"/>
          <w:sz w:val="24"/>
          <w:highlight w:val="none"/>
        </w:rPr>
      </w:pPr>
      <w:r>
        <w:rPr>
          <w:rFonts w:ascii="宋体" w:hAnsi="宋体" w:eastAsia="宋体" w:cs="Times New Roman"/>
          <w:color w:val="auto"/>
          <w:sz w:val="24"/>
          <w:highlight w:val="none"/>
        </w:rPr>
        <w:t>电子邮箱：</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2、 乙方联系及邮寄地址：</w:t>
      </w:r>
      <w:r>
        <w:rPr>
          <w:rFonts w:hint="eastAsia" w:ascii="宋体" w:hAnsi="宋体" w:eastAsia="宋体" w:cs="Times New Roman"/>
          <w:color w:val="auto"/>
          <w:sz w:val="24"/>
          <w:highlight w:val="none"/>
        </w:rPr>
        <w:t xml:space="preserve">   </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联系人： </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color w:val="auto"/>
          <w:sz w:val="24"/>
          <w:highlight w:val="none"/>
        </w:rPr>
        <w:t>身份证号码：</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联系电话：</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电子邮箱：</w:t>
      </w:r>
    </w:p>
    <w:p>
      <w:pPr>
        <w:spacing w:line="440" w:lineRule="exact"/>
        <w:ind w:firstLine="519"/>
        <w:rPr>
          <w:rFonts w:ascii="宋体" w:hAnsi="宋体" w:eastAsia="宋体" w:cs="Times New Roman"/>
          <w:color w:val="auto"/>
          <w:sz w:val="24"/>
          <w:highlight w:val="none"/>
        </w:rPr>
      </w:pPr>
      <w:r>
        <w:rPr>
          <w:rFonts w:hint="eastAsia" w:ascii="宋体" w:hAnsi="宋体" w:eastAsia="宋体" w:cs="Times New Roman"/>
          <w:b/>
          <w:bCs/>
          <w:color w:val="auto"/>
          <w:sz w:val="24"/>
          <w:highlight w:val="none"/>
        </w:rPr>
        <w:t>十五</w:t>
      </w:r>
      <w:r>
        <w:rPr>
          <w:rFonts w:hint="eastAsia" w:ascii="宋体" w:hAnsi="宋体" w:eastAsia="宋体" w:cs="Times New Roman"/>
          <w:color w:val="auto"/>
          <w:sz w:val="24"/>
          <w:highlight w:val="none"/>
        </w:rPr>
        <w:t>、合同中计划单、送货单、结算单等单据样单，在合同实际执行前双方通过补充协议形式确定样单模板。</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六</w:t>
      </w:r>
      <w:r>
        <w:rPr>
          <w:rFonts w:ascii="宋体" w:hAnsi="宋体" w:eastAsia="宋体" w:cs="Times New Roman"/>
          <w:b/>
          <w:color w:val="auto"/>
          <w:sz w:val="24"/>
          <w:highlight w:val="none"/>
        </w:rPr>
        <w:t>、 其他约定</w:t>
      </w:r>
    </w:p>
    <w:p>
      <w:pPr>
        <w:spacing w:line="440" w:lineRule="exact"/>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ab/>
      </w:r>
      <w:r>
        <w:rPr>
          <w:rFonts w:hint="eastAsia" w:ascii="宋体" w:hAnsi="宋体" w:eastAsia="宋体" w:cs="Times New Roman"/>
          <w:color w:val="auto"/>
          <w:sz w:val="24"/>
          <w:highlight w:val="none"/>
          <w:u w:val="single"/>
        </w:rPr>
        <w:t xml:space="preserve">  无                     </w:t>
      </w:r>
      <w:r>
        <w:rPr>
          <w:rFonts w:ascii="宋体" w:hAnsi="宋体" w:eastAsia="宋体" w:cs="Times New Roman"/>
          <w:color w:val="auto"/>
          <w:sz w:val="24"/>
          <w:highlight w:val="none"/>
        </w:rPr>
        <w:t xml:space="preserve">（若有其它，自行约定） </w:t>
      </w:r>
    </w:p>
    <w:p>
      <w:pPr>
        <w:spacing w:line="440" w:lineRule="exact"/>
        <w:ind w:firstLine="519"/>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七</w:t>
      </w:r>
      <w:r>
        <w:rPr>
          <w:rFonts w:ascii="宋体" w:hAnsi="宋体" w:eastAsia="宋体" w:cs="Times New Roman"/>
          <w:b/>
          <w:color w:val="auto"/>
          <w:sz w:val="24"/>
          <w:highlight w:val="none"/>
        </w:rPr>
        <w:t>、 争议解决办法</w:t>
      </w:r>
    </w:p>
    <w:p>
      <w:pPr>
        <w:spacing w:line="360" w:lineRule="auto"/>
        <w:ind w:firstLine="519"/>
        <w:rPr>
          <w:rFonts w:ascii="宋体" w:hAnsi="宋体" w:eastAsia="宋体" w:cs="Times New Roman"/>
          <w:color w:val="auto"/>
          <w:sz w:val="24"/>
          <w:highlight w:val="none"/>
        </w:rPr>
      </w:pPr>
      <w:r>
        <w:rPr>
          <w:rFonts w:ascii="宋体" w:hAnsi="宋体" w:eastAsia="宋体" w:cs="Times New Roman"/>
          <w:color w:val="auto"/>
          <w:sz w:val="24"/>
          <w:highlight w:val="none"/>
        </w:rPr>
        <w:t>如发生争议，甲、乙双方友好协商解决；若通过协商尚不能达成一致意见，则通过诉讼方式解决。双方约定：诉讼由项目所在地</w:t>
      </w:r>
      <w:r>
        <w:rPr>
          <w:rFonts w:hint="eastAsia" w:ascii="宋体" w:hAnsi="宋体" w:eastAsia="宋体" w:cs="Times New Roman"/>
          <w:color w:val="auto"/>
          <w:sz w:val="24"/>
          <w:highlight w:val="none"/>
        </w:rPr>
        <w:t>有管辖权的</w:t>
      </w:r>
      <w:r>
        <w:rPr>
          <w:rFonts w:ascii="宋体" w:hAnsi="宋体" w:eastAsia="宋体" w:cs="Times New Roman"/>
          <w:color w:val="auto"/>
          <w:sz w:val="24"/>
          <w:highlight w:val="none"/>
        </w:rPr>
        <w:t>人民法院管辖。</w:t>
      </w:r>
    </w:p>
    <w:p>
      <w:pPr>
        <w:spacing w:line="360" w:lineRule="auto"/>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十</w:t>
      </w:r>
      <w:r>
        <w:rPr>
          <w:rFonts w:hint="eastAsia" w:ascii="宋体" w:hAnsi="宋体" w:eastAsia="宋体" w:cs="Times New Roman"/>
          <w:b/>
          <w:color w:val="auto"/>
          <w:sz w:val="24"/>
          <w:highlight w:val="none"/>
        </w:rPr>
        <w:t>八</w:t>
      </w:r>
      <w:r>
        <w:rPr>
          <w:rFonts w:ascii="宋体" w:hAnsi="宋体" w:eastAsia="宋体" w:cs="Times New Roman"/>
          <w:b/>
          <w:color w:val="auto"/>
          <w:sz w:val="24"/>
          <w:highlight w:val="none"/>
        </w:rPr>
        <w:t>、 本合同一式肆份，双方各执贰份</w:t>
      </w:r>
      <w:r>
        <w:rPr>
          <w:rFonts w:hint="eastAsia" w:ascii="宋体" w:hAnsi="宋体" w:eastAsia="宋体" w:cs="Times New Roman"/>
          <w:b/>
          <w:color w:val="auto"/>
          <w:sz w:val="24"/>
          <w:highlight w:val="none"/>
        </w:rPr>
        <w:t>，均具有同等法律效力。</w:t>
      </w:r>
      <w:r>
        <w:rPr>
          <w:rFonts w:ascii="宋体" w:hAnsi="宋体" w:eastAsia="宋体" w:cs="Times New Roman"/>
          <w:b/>
          <w:color w:val="auto"/>
          <w:sz w:val="24"/>
          <w:highlight w:val="none"/>
        </w:rPr>
        <w:t>本合同自双方签字盖章后生效，合同履行完毕或者解除时终止。</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eastAsia"/>
          <w:lang w:val="en-US" w:eastAsia="zh-CN"/>
        </w:rPr>
      </w:pPr>
    </w:p>
    <w:p>
      <w:pPr>
        <w:pStyle w:val="30"/>
        <w:rPr>
          <w:rFonts w:hint="eastAsia" w:ascii="Times New Roman" w:hAnsi="Times New Roman" w:eastAsia="宋体" w:cs="Times New Roman"/>
          <w:lang w:val="en-US" w:eastAsia="zh-CN"/>
        </w:rPr>
      </w:pPr>
    </w:p>
    <w:p>
      <w:pPr>
        <w:pStyle w:val="2"/>
        <w:numPr>
          <w:ilvl w:val="255"/>
          <w:numId w:val="0"/>
        </w:numPr>
        <w:spacing w:before="312" w:after="312"/>
        <w:ind w:left="402"/>
        <w:rPr>
          <w:rFonts w:ascii="Times New Roman" w:hAnsi="Times New Roman" w:eastAsia="宋体" w:cs="Times New Roman"/>
        </w:rPr>
      </w:pPr>
      <w:bookmarkStart w:id="61" w:name="_Toc24422"/>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1"/>
    </w:p>
    <w:p>
      <w:pPr>
        <w:jc w:val="center"/>
        <w:rPr>
          <w:rFonts w:hint="eastAsia" w:ascii="Times New Roman" w:hAnsi="Times New Roman" w:eastAsia="黑体" w:cs="Times New Roman"/>
          <w:b/>
          <w:sz w:val="28"/>
        </w:rPr>
      </w:pPr>
      <w:r>
        <w:rPr>
          <w:rFonts w:hint="eastAsia" w:ascii="Times New Roman" w:hAnsi="Times New Roman" w:eastAsia="黑体" w:cs="Times New Roman"/>
          <w:b/>
          <w:sz w:val="28"/>
          <w:lang w:eastAsia="zh-CN"/>
        </w:rPr>
        <w:t>钢材</w:t>
      </w:r>
      <w:r>
        <w:rPr>
          <w:rFonts w:hint="eastAsia" w:ascii="Times New Roman" w:hAnsi="Times New Roman" w:eastAsia="黑体" w:cs="Times New Roman"/>
          <w:b/>
          <w:sz w:val="28"/>
        </w:rPr>
        <w:t>技术规范</w:t>
      </w:r>
    </w:p>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一、</w:t>
      </w:r>
      <w:r>
        <w:rPr>
          <w:rFonts w:hint="eastAsia" w:ascii="Times New Roman" w:hAnsi="Times New Roman" w:eastAsia="宋体" w:cs="Times New Roman"/>
          <w:lang w:eastAsia="zh-CN"/>
        </w:rPr>
        <w:t>钢材</w:t>
      </w:r>
      <w:r>
        <w:rPr>
          <w:rFonts w:hint="eastAsia" w:ascii="Times New Roman" w:hAnsi="Times New Roman" w:eastAsia="宋体" w:cs="Times New Roman"/>
        </w:rPr>
        <w:t>的相关技术标准如下(但不限于下列标准)：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w:t>
      </w:r>
      <w:r>
        <w:rPr>
          <w:rFonts w:hint="eastAsia" w:ascii="Times New Roman" w:hAnsi="Times New Roman" w:eastAsia="宋体" w:cs="Times New Roman"/>
          <w:lang w:eastAsia="zh-CN"/>
        </w:rPr>
        <w:t>钢材</w:t>
      </w:r>
      <w:r>
        <w:rPr>
          <w:rFonts w:ascii="Times New Roman" w:hAnsi="Times New Roman" w:eastAsia="宋体" w:cs="Times New Roman"/>
        </w:rPr>
        <w:t>混凝土用钢第1部分：热轧光圆</w:t>
      </w:r>
      <w:r>
        <w:rPr>
          <w:rFonts w:hint="eastAsia" w:ascii="Times New Roman" w:hAnsi="Times New Roman" w:eastAsia="宋体" w:cs="Times New Roman"/>
          <w:lang w:eastAsia="zh-CN"/>
        </w:rPr>
        <w:t>钢材</w:t>
      </w:r>
      <w:r>
        <w:rPr>
          <w:rFonts w:ascii="Times New Roman" w:hAnsi="Times New Roman" w:eastAsia="宋体" w:cs="Times New Roman"/>
        </w:rPr>
        <w:t>》（GB1499.1-20</w:t>
      </w:r>
      <w:r>
        <w:rPr>
          <w:rFonts w:hint="eastAsia" w:ascii="Times New Roman" w:hAnsi="Times New Roman" w:eastAsia="宋体" w:cs="Times New Roman"/>
        </w:rPr>
        <w:t>1</w:t>
      </w:r>
      <w:r>
        <w:rPr>
          <w:rFonts w:ascii="Times New Roman" w:hAnsi="Times New Roman" w:eastAsia="宋体" w:cs="Times New Roman"/>
        </w:rPr>
        <w:t>8）</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w:t>
      </w:r>
      <w:r>
        <w:rPr>
          <w:rFonts w:hint="eastAsia" w:ascii="Times New Roman" w:hAnsi="Times New Roman" w:eastAsia="宋体" w:cs="Times New Roman"/>
          <w:lang w:eastAsia="zh-CN"/>
        </w:rPr>
        <w:t>钢材</w:t>
      </w:r>
      <w:r>
        <w:rPr>
          <w:rFonts w:ascii="Times New Roman" w:hAnsi="Times New Roman" w:eastAsia="宋体" w:cs="Times New Roman"/>
        </w:rPr>
        <w:t>混凝土用钢第2部分：热轧带肋</w:t>
      </w:r>
      <w:r>
        <w:rPr>
          <w:rFonts w:hint="eastAsia" w:ascii="Times New Roman" w:hAnsi="Times New Roman" w:eastAsia="宋体" w:cs="Times New Roman"/>
          <w:lang w:eastAsia="zh-CN"/>
        </w:rPr>
        <w:t>钢材</w:t>
      </w:r>
      <w:r>
        <w:rPr>
          <w:rFonts w:ascii="Times New Roman" w:hAnsi="Times New Roman" w:eastAsia="宋体" w:cs="Times New Roman"/>
        </w:rPr>
        <w:t>》（GB1499.2-20</w:t>
      </w:r>
      <w:r>
        <w:rPr>
          <w:rFonts w:hint="eastAsia" w:ascii="Times New Roman" w:hAnsi="Times New Roman" w:eastAsia="宋体" w:cs="Times New Roman"/>
        </w:rPr>
        <w:t>1</w:t>
      </w:r>
      <w:r>
        <w:rPr>
          <w:rFonts w:ascii="Times New Roman" w:hAnsi="Times New Roman" w:eastAsia="宋体" w:cs="Times New Roman"/>
        </w:rPr>
        <w:t>7）</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w:t>
      </w:r>
      <w:r>
        <w:rPr>
          <w:rFonts w:hint="eastAsia" w:ascii="Times New Roman" w:hAnsi="Times New Roman" w:eastAsia="宋体" w:cs="Times New Roman"/>
          <w:lang w:eastAsia="zh-CN"/>
        </w:rPr>
        <w:t>钢材</w:t>
      </w:r>
      <w:r>
        <w:rPr>
          <w:rFonts w:ascii="Times New Roman" w:hAnsi="Times New Roman" w:eastAsia="宋体" w:cs="Times New Roman"/>
        </w:rPr>
        <w:t>混凝土用钢第</w:t>
      </w:r>
      <w:r>
        <w:rPr>
          <w:rFonts w:hint="eastAsia" w:ascii="Times New Roman" w:hAnsi="Times New Roman" w:eastAsia="宋体" w:cs="Times New Roman"/>
        </w:rPr>
        <w:t>3</w:t>
      </w:r>
      <w:r>
        <w:rPr>
          <w:rFonts w:ascii="Times New Roman" w:hAnsi="Times New Roman" w:eastAsia="宋体" w:cs="Times New Roman"/>
        </w:rPr>
        <w:t>部分：</w:t>
      </w:r>
      <w:r>
        <w:rPr>
          <w:rFonts w:hint="eastAsia" w:ascii="Times New Roman" w:hAnsi="Times New Roman" w:eastAsia="宋体" w:cs="Times New Roman"/>
          <w:lang w:eastAsia="zh-CN"/>
        </w:rPr>
        <w:t>钢材</w:t>
      </w:r>
      <w:r>
        <w:rPr>
          <w:rFonts w:hint="eastAsia" w:ascii="Times New Roman" w:hAnsi="Times New Roman" w:eastAsia="宋体" w:cs="Times New Roman"/>
        </w:rPr>
        <w:t>焊接网</w:t>
      </w:r>
      <w:r>
        <w:rPr>
          <w:rFonts w:ascii="Times New Roman" w:hAnsi="Times New Roman" w:eastAsia="宋体" w:cs="Times New Roman"/>
        </w:rPr>
        <w:t>》（GB1499.</w:t>
      </w:r>
      <w:r>
        <w:rPr>
          <w:rFonts w:hint="eastAsia" w:ascii="Times New Roman" w:hAnsi="Times New Roman" w:eastAsia="宋体" w:cs="Times New Roman"/>
        </w:rPr>
        <w:t>3</w:t>
      </w:r>
      <w:r>
        <w:rPr>
          <w:rFonts w:ascii="Times New Roman" w:hAnsi="Times New Roman" w:eastAsia="宋体" w:cs="Times New Roman"/>
        </w:rPr>
        <w:t>-20</w:t>
      </w:r>
      <w:r>
        <w:rPr>
          <w:rFonts w:hint="eastAsia" w:ascii="Times New Roman" w:hAnsi="Times New Roman" w:eastAsia="宋体" w:cs="Times New Roman"/>
        </w:rPr>
        <w:t>10</w:t>
      </w:r>
      <w:r>
        <w:rPr>
          <w:rFonts w:ascii="Times New Roman" w:hAnsi="Times New Roman" w:eastAsia="宋体" w:cs="Times New Roman"/>
        </w:rPr>
        <w:t>）</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《预应力混凝土用</w:t>
      </w:r>
      <w:r>
        <w:rPr>
          <w:rFonts w:hint="eastAsia" w:ascii="Times New Roman" w:hAnsi="Times New Roman" w:eastAsia="宋体" w:cs="Times New Roman"/>
        </w:rPr>
        <w:t>螺纹</w:t>
      </w:r>
      <w:r>
        <w:rPr>
          <w:rFonts w:hint="eastAsia" w:ascii="Times New Roman" w:hAnsi="Times New Roman" w:eastAsia="宋体" w:cs="Times New Roman"/>
          <w:lang w:eastAsia="zh-CN"/>
        </w:rPr>
        <w:t>钢材</w:t>
      </w:r>
      <w:r>
        <w:rPr>
          <w:rFonts w:ascii="Times New Roman" w:hAnsi="Times New Roman" w:eastAsia="宋体" w:cs="Times New Roman"/>
        </w:rPr>
        <w:t xml:space="preserve">》（GB/T </w:t>
      </w:r>
      <w:r>
        <w:rPr>
          <w:rFonts w:hint="eastAsia" w:ascii="Times New Roman" w:hAnsi="Times New Roman" w:eastAsia="宋体" w:cs="Times New Roman"/>
        </w:rPr>
        <w:t>20065</w:t>
      </w:r>
      <w:r>
        <w:rPr>
          <w:rFonts w:ascii="Times New Roman" w:hAnsi="Times New Roman" w:eastAsia="宋体" w:cs="Times New Roman"/>
        </w:rPr>
        <w:t>-200</w:t>
      </w:r>
      <w:r>
        <w:rPr>
          <w:rFonts w:hint="eastAsia" w:ascii="Times New Roman" w:hAnsi="Times New Roman" w:eastAsia="宋体" w:cs="Times New Roman"/>
        </w:rPr>
        <w:t>6</w:t>
      </w:r>
      <w:r>
        <w:rPr>
          <w:rFonts w:ascii="Times New Roman" w:hAnsi="Times New Roman" w:eastAsia="宋体" w:cs="Times New Roman"/>
        </w:rPr>
        <w:t>）</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二、</w:t>
      </w:r>
      <w:r>
        <w:rPr>
          <w:rFonts w:hint="eastAsia" w:ascii="Times New Roman" w:hAnsi="Times New Roman" w:eastAsia="宋体" w:cs="Times New Roman"/>
          <w:lang w:eastAsia="zh-CN"/>
        </w:rPr>
        <w:t>钢材</w:t>
      </w:r>
      <w:r>
        <w:rPr>
          <w:rFonts w:hint="eastAsia" w:ascii="Times New Roman" w:hAnsi="Times New Roman" w:eastAsia="宋体" w:cs="Times New Roman"/>
        </w:rPr>
        <w:t>的质量必须符合国家有关标准及G0321德上高速祁门至皖赣界段工程WJ-JG的设计要求。如国家有新标准出台，则应符合国家所颁发的最新版本的质量和技术标准。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三、</w:t>
      </w:r>
      <w:r>
        <w:rPr>
          <w:rFonts w:hint="eastAsia" w:ascii="Times New Roman" w:hAnsi="Times New Roman" w:eastAsia="宋体" w:cs="Times New Roman"/>
          <w:lang w:eastAsia="zh-CN"/>
        </w:rPr>
        <w:t>钢材</w:t>
      </w:r>
      <w:r>
        <w:rPr>
          <w:rFonts w:hint="eastAsia" w:ascii="Times New Roman" w:hAnsi="Times New Roman" w:eastAsia="宋体" w:cs="Times New Roman"/>
        </w:rPr>
        <w:t>的技术标准可遵照：</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GB</w:t>
      </w:r>
      <w:r>
        <w:rPr>
          <w:rFonts w:hint="eastAsia" w:ascii="Times New Roman" w:hAnsi="Times New Roman" w:eastAsia="宋体" w:cs="Times New Roman"/>
        </w:rPr>
        <w:softHyphen/>
      </w:r>
      <w:r>
        <w:rPr>
          <w:rFonts w:hint="eastAsia" w:ascii="Times New Roman" w:hAnsi="Times New Roman" w:eastAsia="宋体" w:cs="Times New Roman"/>
        </w:rPr>
        <w:t>—中华人民共和国国家标准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GBJ—中华人民共和国国家标准(基本建设方面)</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JT—中华人民共和国交通部标准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JTJ—中华人民共和国交通部标准(基本建设方面)</w:t>
      </w:r>
    </w:p>
    <w:p>
      <w:pPr>
        <w:spacing w:line="360" w:lineRule="auto"/>
        <w:ind w:firstLine="437"/>
        <w:rPr>
          <w:rFonts w:ascii="Times New Roman" w:hAnsi="Times New Roman" w:eastAsia="宋体" w:cs="Times New Roman"/>
        </w:rPr>
      </w:pPr>
      <w:r>
        <w:rPr>
          <w:rFonts w:hint="eastAsia" w:ascii="Times New Roman" w:hAnsi="Times New Roman" w:eastAsia="宋体" w:cs="Times New Roman"/>
        </w:rPr>
        <w:t>JC—中华人民共和国建筑材料工业部标准</w:t>
      </w: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2"/>
        <w:numPr>
          <w:ilvl w:val="255"/>
          <w:numId w:val="0"/>
        </w:numPr>
        <w:spacing w:before="312" w:after="312"/>
        <w:ind w:left="402"/>
        <w:rPr>
          <w:rFonts w:hint="eastAsia" w:ascii="Times New Roman" w:hAnsi="Times New Roman" w:eastAsia="宋体" w:cs="Times New Roman"/>
        </w:rPr>
      </w:pPr>
      <w:bookmarkStart w:id="62" w:name="_Toc777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2"/>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63" w:name="_Toc1914_WPSOffice_Level1"/>
      <w:bookmarkStart w:id="64" w:name="_Toc10484_WPSOffice_Level1"/>
      <w:bookmarkStart w:id="65" w:name="_Toc17394_WPSOffice_Level1"/>
      <w:bookmarkStart w:id="66" w:name="_Toc32044_WPSOffice_Level1"/>
      <w:bookmarkStart w:id="67" w:name="_Toc29687_WPSOffice_Level1"/>
      <w:r>
        <w:rPr>
          <w:rFonts w:ascii="Times New Roman" w:hAnsi="Times New Roman" w:eastAsia="黑体" w:cs="Times New Roman"/>
          <w:sz w:val="50"/>
          <w:szCs w:val="50"/>
        </w:rPr>
        <w:t>响  应  文  件</w:t>
      </w:r>
      <w:bookmarkEnd w:id="63"/>
      <w:bookmarkEnd w:id="64"/>
      <w:bookmarkEnd w:id="65"/>
      <w:bookmarkEnd w:id="66"/>
      <w:bookmarkEnd w:id="67"/>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68" w:name="_Toc25232_WPSOffice_Level2"/>
      <w:bookmarkStart w:id="69"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68"/>
      <w:bookmarkEnd w:id="6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0" w:name="_Toc20076_WPSOffice_Level2"/>
      <w:bookmarkStart w:id="7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0"/>
      <w:bookmarkEnd w:id="71"/>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2" w:name="_Toc22351_WPSOffice_Level2"/>
      <w:bookmarkStart w:id="73" w:name="_Toc21974_WPSOffice_Level2"/>
      <w:r>
        <w:rPr>
          <w:rFonts w:ascii="Times New Roman" w:hAnsi="Times New Roman" w:eastAsia="黑体" w:cs="Times New Roman"/>
          <w:sz w:val="28"/>
          <w:szCs w:val="28"/>
        </w:rPr>
        <w:t>目     录</w:t>
      </w:r>
      <w:bookmarkEnd w:id="72"/>
      <w:bookmarkEnd w:id="7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74" w:name="_Toc23368_WPSOffice_Level1"/>
      <w:bookmarkStart w:id="75" w:name="_Toc6353_WPSOffice_Level1"/>
      <w:bookmarkStart w:id="76" w:name="_Toc30529_WPSOffice_Level1"/>
      <w:bookmarkStart w:id="77" w:name="_Toc11424_WPSOffice_Level1"/>
      <w:bookmarkStart w:id="78" w:name="_Toc5842_WPSOffice_Level1"/>
      <w:bookmarkStart w:id="79"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74"/>
      <w:bookmarkEnd w:id="75"/>
      <w:bookmarkEnd w:id="76"/>
      <w:bookmarkEnd w:id="77"/>
      <w:bookmarkEnd w:id="78"/>
    </w:p>
    <w:p>
      <w:pPr>
        <w:spacing w:line="440" w:lineRule="exact"/>
        <w:ind w:left="1619" w:leftChars="771"/>
        <w:rPr>
          <w:rFonts w:ascii="Times New Roman" w:hAnsi="Times New Roman" w:eastAsia="黑体" w:cs="Times New Roman"/>
          <w:sz w:val="24"/>
        </w:rPr>
      </w:pPr>
      <w:bookmarkStart w:id="80" w:name="_Toc31927_WPSOffice_Level1"/>
      <w:bookmarkStart w:id="81" w:name="_Toc21229_WPSOffice_Level1"/>
      <w:bookmarkStart w:id="82" w:name="_Toc32729_WPSOffice_Level1"/>
      <w:bookmarkStart w:id="83" w:name="_Toc30428_WPSOffice_Level1"/>
      <w:bookmarkStart w:id="84" w:name="_Toc5317_WPSOffice_Level1"/>
      <w:r>
        <w:rPr>
          <w:rFonts w:ascii="Times New Roman" w:hAnsi="Times New Roman" w:eastAsia="黑体" w:cs="Times New Roman"/>
          <w:sz w:val="24"/>
        </w:rPr>
        <w:t>二、法定代表人身份证明及授权委托书</w:t>
      </w:r>
      <w:bookmarkEnd w:id="80"/>
      <w:bookmarkEnd w:id="81"/>
      <w:bookmarkEnd w:id="82"/>
      <w:bookmarkEnd w:id="83"/>
      <w:bookmarkEnd w:id="84"/>
    </w:p>
    <w:p>
      <w:pPr>
        <w:spacing w:line="440" w:lineRule="exact"/>
        <w:ind w:left="1619" w:leftChars="771"/>
        <w:rPr>
          <w:rFonts w:ascii="Times New Roman" w:hAnsi="Times New Roman" w:eastAsia="黑体" w:cs="Times New Roman"/>
          <w:sz w:val="24"/>
        </w:rPr>
      </w:pPr>
      <w:bookmarkStart w:id="85" w:name="_Toc29085_WPSOffice_Level1"/>
      <w:bookmarkStart w:id="86" w:name="_Toc4728_WPSOffice_Level1"/>
      <w:bookmarkStart w:id="87" w:name="_Toc23356_WPSOffice_Level1"/>
      <w:bookmarkStart w:id="88" w:name="_Toc21853_WPSOffice_Level1"/>
      <w:bookmarkStart w:id="89"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85"/>
    <w:bookmarkEnd w:id="86"/>
    <w:bookmarkEnd w:id="87"/>
    <w:bookmarkEnd w:id="88"/>
    <w:bookmarkEnd w:id="89"/>
    <w:p>
      <w:pPr>
        <w:spacing w:line="440" w:lineRule="exact"/>
        <w:ind w:left="1619" w:leftChars="771"/>
        <w:rPr>
          <w:rFonts w:hint="eastAsia" w:ascii="Times New Roman" w:hAnsi="Times New Roman" w:eastAsia="黑体" w:cs="Times New Roman"/>
          <w:sz w:val="24"/>
        </w:rPr>
      </w:pPr>
      <w:bookmarkStart w:id="90" w:name="_Toc7453_WPSOffice_Level1"/>
      <w:bookmarkStart w:id="91" w:name="_Toc10608_WPSOffice_Level1"/>
      <w:bookmarkStart w:id="92" w:name="_Toc18964_WPSOffice_Level1"/>
      <w:bookmarkStart w:id="93" w:name="_Toc23744_WPSOffice_Level1"/>
      <w:bookmarkStart w:id="94" w:name="_Toc29870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0"/>
      <w:bookmarkEnd w:id="91"/>
      <w:bookmarkEnd w:id="92"/>
      <w:bookmarkEnd w:id="93"/>
      <w:bookmarkEnd w:id="94"/>
      <w:bookmarkStart w:id="95" w:name="_Toc24262_WPSOffice_Level1"/>
      <w:bookmarkStart w:id="96" w:name="_Toc12459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lang w:val="en-US" w:eastAsia="zh-CN"/>
        </w:rPr>
      </w:pPr>
      <w:bookmarkStart w:id="97" w:name="_Toc20930_WPSOffice_Level1"/>
      <w:bookmarkStart w:id="98" w:name="_Toc32220_WPSOffice_Level1"/>
      <w:bookmarkStart w:id="99" w:name="_Toc927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95"/>
      <w:bookmarkEnd w:id="96"/>
      <w:bookmarkEnd w:id="97"/>
      <w:bookmarkEnd w:id="98"/>
      <w:bookmarkEnd w:id="99"/>
      <w:r>
        <w:rPr>
          <w:rFonts w:hint="eastAsia" w:ascii="Times New Roman" w:hAnsi="Times New Roman" w:eastAsia="黑体" w:cs="Times New Roman"/>
          <w:sz w:val="24"/>
          <w:lang w:val="en-US" w:eastAsia="zh-CN"/>
        </w:rPr>
        <w:t>供货方案</w:t>
      </w:r>
    </w:p>
    <w:p>
      <w:pPr>
        <w:spacing w:line="440" w:lineRule="exact"/>
        <w:ind w:left="1619" w:leftChars="771"/>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七、企业情况</w:t>
      </w:r>
    </w:p>
    <w:p>
      <w:pPr>
        <w:spacing w:line="440" w:lineRule="exact"/>
        <w:ind w:left="1619" w:leftChars="771"/>
        <w:rPr>
          <w:rFonts w:hint="eastAsia" w:ascii="Times New Roman" w:hAnsi="Times New Roman" w:eastAsia="黑体" w:cs="Times New Roman"/>
          <w:sz w:val="24"/>
        </w:rPr>
      </w:pPr>
      <w:bookmarkStart w:id="100" w:name="_Toc16988_WPSOffice_Level1"/>
      <w:bookmarkStart w:id="101" w:name="_Toc5885_WPSOffice_Level1"/>
      <w:bookmarkStart w:id="102" w:name="_Toc25973_WPSOffice_Level1"/>
      <w:r>
        <w:rPr>
          <w:rFonts w:hint="eastAsia" w:ascii="Times New Roman" w:hAnsi="Times New Roman" w:eastAsia="黑体" w:cs="Times New Roman"/>
          <w:sz w:val="24"/>
          <w:lang w:val="en-US" w:eastAsia="zh-CN"/>
        </w:rPr>
        <w:t>八</w:t>
      </w:r>
      <w:r>
        <w:rPr>
          <w:rFonts w:hint="eastAsia" w:ascii="Times New Roman" w:hAnsi="Times New Roman" w:eastAsia="黑体" w:cs="Times New Roman"/>
          <w:sz w:val="24"/>
        </w:rPr>
        <w:t>、其他材料</w:t>
      </w:r>
      <w:bookmarkEnd w:id="79"/>
      <w:bookmarkEnd w:id="100"/>
      <w:bookmarkEnd w:id="101"/>
      <w:bookmarkEnd w:id="102"/>
    </w:p>
    <w:p>
      <w:pPr>
        <w:pStyle w:val="18"/>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3" w:name="_Toc2765_WPSOffice_Level1"/>
      <w:bookmarkStart w:id="104" w:name="_Toc1687_WPSOffice_Level1"/>
      <w:bookmarkStart w:id="105" w:name="_Toc3972_WPSOffice_Level1"/>
      <w:bookmarkStart w:id="106" w:name="_Toc18312_WPSOffice_Level1"/>
      <w:bookmarkStart w:id="107" w:name="_Toc1017_WPSOffice_Level1"/>
      <w:bookmarkStart w:id="108" w:name="_Toc136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包</w:t>
      </w:r>
      <w:r>
        <w:rPr>
          <w:rFonts w:hint="eastAsia" w:ascii="宋体" w:hAnsi="宋体" w:eastAsia="宋体" w:cs="宋体"/>
          <w:sz w:val="24"/>
          <w:szCs w:val="24"/>
          <w:lang w:eastAsia="zh-CN"/>
        </w:rPr>
        <w:t>采购文件</w:t>
      </w:r>
      <w:r>
        <w:rPr>
          <w:rFonts w:hint="eastAsia" w:ascii="宋体" w:hAnsi="宋体" w:eastAsia="宋体" w:cs="宋体"/>
          <w:sz w:val="24"/>
          <w:szCs w:val="24"/>
        </w:rPr>
        <w:t>的全部内容，愿意以报价文件中的投标总报价（或根据</w:t>
      </w:r>
      <w:r>
        <w:rPr>
          <w:rFonts w:hint="eastAsia" w:ascii="宋体" w:hAnsi="宋体" w:eastAsia="宋体" w:cs="宋体"/>
          <w:sz w:val="24"/>
          <w:szCs w:val="24"/>
          <w:lang w:eastAsia="zh-CN"/>
        </w:rPr>
        <w:t>采购文件</w:t>
      </w:r>
      <w:r>
        <w:rPr>
          <w:rFonts w:hint="eastAsia" w:ascii="宋体" w:hAnsi="宋体" w:eastAsia="宋体" w:cs="宋体"/>
          <w:sz w:val="24"/>
          <w:szCs w:val="24"/>
        </w:rPr>
        <w:t>规定修正核实后确定的另一金额）提供</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的全部要求。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规定的投标有效期内不撤销投标文件。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8"/>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4"/>
        <w:outlineLvl w:val="9"/>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6"/>
      </w:pPr>
    </w:p>
    <w:p/>
    <w:bookmarkEnd w:id="103"/>
    <w:bookmarkEnd w:id="104"/>
    <w:bookmarkEnd w:id="105"/>
    <w:bookmarkEnd w:id="106"/>
    <w:bookmarkEnd w:id="107"/>
    <w:bookmarkEnd w:id="108"/>
    <w:p>
      <w:pPr>
        <w:spacing w:line="440" w:lineRule="exact"/>
        <w:jc w:val="center"/>
        <w:rPr>
          <w:rFonts w:ascii="Times New Roman" w:hAnsi="Times New Roman" w:eastAsia="黑体" w:cs="Times New Roman"/>
          <w:sz w:val="28"/>
          <w:szCs w:val="28"/>
        </w:rPr>
      </w:pPr>
      <w:bookmarkStart w:id="109" w:name="_Toc4951_WPSOffice_Level1"/>
      <w:bookmarkStart w:id="110" w:name="_Toc32350_WPSOffice_Level1"/>
      <w:bookmarkStart w:id="111" w:name="_Toc1996_WPSOffice_Level1"/>
      <w:bookmarkStart w:id="112" w:name="_Toc14563_WPSOffice_Level1"/>
      <w:bookmarkStart w:id="113" w:name="_Toc21740_WPSOffice_Level1"/>
      <w:bookmarkStart w:id="114" w:name="_Toc18668_WPSOffice_Level1"/>
      <w:r>
        <w:rPr>
          <w:rFonts w:ascii="Times New Roman" w:hAnsi="Times New Roman" w:eastAsia="黑体" w:cs="Times New Roman"/>
          <w:sz w:val="28"/>
          <w:szCs w:val="28"/>
        </w:rPr>
        <w:t>二、法定代表人身份证明及授权委托书</w:t>
      </w:r>
      <w:bookmarkEnd w:id="109"/>
      <w:bookmarkEnd w:id="110"/>
      <w:bookmarkEnd w:id="111"/>
      <w:bookmarkEnd w:id="112"/>
      <w:bookmarkEnd w:id="113"/>
      <w:bookmarkEnd w:id="114"/>
    </w:p>
    <w:p>
      <w:pPr>
        <w:spacing w:line="440" w:lineRule="exact"/>
        <w:jc w:val="center"/>
        <w:rPr>
          <w:rFonts w:ascii="Times New Roman" w:hAnsi="Times New Roman" w:cs="Times New Roman"/>
          <w:sz w:val="28"/>
          <w:szCs w:val="28"/>
        </w:rPr>
      </w:pPr>
      <w:bookmarkStart w:id="115" w:name="_Toc5153_WPSOffice_Level2"/>
      <w:bookmarkStart w:id="116" w:name="_Toc20803_WPSOffice_Level2"/>
      <w:r>
        <w:rPr>
          <w:rFonts w:ascii="Times New Roman" w:hAnsi="Times New Roman" w:eastAsia="黑体" w:cs="Times New Roman"/>
          <w:bCs/>
          <w:sz w:val="28"/>
          <w:szCs w:val="28"/>
        </w:rPr>
        <w:t>2-1 法定代表人身份证明</w:t>
      </w:r>
      <w:bookmarkEnd w:id="115"/>
      <w:bookmarkEnd w:id="116"/>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17" w:name="_Toc12035_WPSOffice_Level2"/>
      <w:bookmarkStart w:id="118"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7"/>
      <w:bookmarkEnd w:id="11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headerReference r:id="rId12" w:type="default"/>
          <w:footerReference r:id="rId13"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19" w:name="_Toc24530_WPSOffice_Level1"/>
      <w:bookmarkStart w:id="120" w:name="_Toc26364_WPSOffice_Level1"/>
      <w:bookmarkStart w:id="121" w:name="_Toc32085_WPSOffice_Level1"/>
      <w:bookmarkStart w:id="122" w:name="_Toc28828_WPSOffice_Level1"/>
      <w:bookmarkStart w:id="123" w:name="_Toc27513_WPSOffice_Level1"/>
      <w:bookmarkStart w:id="124" w:name="_Toc24567_WPSOffice_Level1"/>
    </w:p>
    <w:bookmarkEnd w:id="119"/>
    <w:bookmarkEnd w:id="120"/>
    <w:bookmarkEnd w:id="121"/>
    <w:bookmarkEnd w:id="122"/>
    <w:bookmarkEnd w:id="123"/>
    <w:bookmarkEnd w:id="124"/>
    <w:p>
      <w:pPr>
        <w:topLinePunct/>
        <w:spacing w:line="440" w:lineRule="exact"/>
        <w:jc w:val="center"/>
        <w:rPr>
          <w:rFonts w:ascii="Times New Roman" w:hAnsi="Times New Roman" w:eastAsia="黑体" w:cs="Times New Roman"/>
          <w:sz w:val="28"/>
          <w:szCs w:val="28"/>
        </w:rPr>
      </w:pPr>
      <w:bookmarkStart w:id="125" w:name="_Toc7738_WPSOffice_Level1"/>
      <w:bookmarkStart w:id="126" w:name="_Toc19015_WPSOffice_Level1"/>
      <w:bookmarkStart w:id="127" w:name="_Toc10646_WPSOffice_Level1"/>
      <w:bookmarkStart w:id="128" w:name="_Toc17124_WPSOffice_Level1"/>
      <w:bookmarkStart w:id="129" w:name="_Toc31445_WPSOffice_Level1"/>
      <w:bookmarkStart w:id="130" w:name="_Toc10436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1" w:name="_Toc27600_WPSOffice_Level2"/>
      <w:bookmarkStart w:id="132" w:name="_Toc2807_WPSOffice_Level2"/>
      <w:r>
        <w:rPr>
          <w:rFonts w:ascii="Times New Roman" w:hAnsi="Times New Roman" w:eastAsia="黑体" w:cs="Times New Roman"/>
          <w:sz w:val="28"/>
          <w:szCs w:val="28"/>
        </w:rPr>
        <w:t>供应商基本情况</w:t>
      </w:r>
      <w:bookmarkEnd w:id="125"/>
      <w:bookmarkEnd w:id="126"/>
      <w:bookmarkEnd w:id="127"/>
      <w:bookmarkEnd w:id="128"/>
      <w:bookmarkEnd w:id="129"/>
      <w:bookmarkEnd w:id="130"/>
      <w:bookmarkEnd w:id="131"/>
      <w:bookmarkEnd w:id="132"/>
    </w:p>
    <w:p>
      <w:pPr>
        <w:topLinePunct/>
        <w:spacing w:line="440" w:lineRule="exact"/>
        <w:jc w:val="center"/>
        <w:rPr>
          <w:rFonts w:ascii="Times New Roman" w:hAnsi="Times New Roman" w:cs="Times New Roman"/>
          <w:sz w:val="23"/>
          <w:szCs w:val="23"/>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w:t>
      </w:r>
      <w:r>
        <w:rPr>
          <w:rFonts w:ascii="Times New Roman" w:hAnsi="Times New Roman" w:eastAsia="黑体" w:cs="Times New Roman"/>
          <w:b/>
          <w:bCs/>
          <w:sz w:val="21"/>
          <w:szCs w:val="21"/>
        </w:rPr>
        <w:t>营业执照、</w:t>
      </w:r>
      <w:r>
        <w:rPr>
          <w:rFonts w:hint="eastAsia" w:ascii="Times New Roman" w:hAnsi="Times New Roman" w:eastAsia="黑体" w:cs="Times New Roman"/>
          <w:b/>
          <w:bCs/>
          <w:sz w:val="21"/>
          <w:szCs w:val="21"/>
          <w:lang w:val="en-US" w:eastAsia="zh-CN"/>
        </w:rPr>
        <w:t>开户信息</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33" w:name="_Toc18547_WPSOffice_Level1"/>
      <w:bookmarkStart w:id="134" w:name="_Toc3912"/>
      <w:bookmarkStart w:id="135" w:name="_Toc5072_WPSOffice_Level1"/>
      <w:bookmarkStart w:id="136" w:name="_Toc1452_WPSOffice_Level1"/>
      <w:bookmarkStart w:id="137" w:name="_Toc3772_WPSOffice_Level1"/>
      <w:bookmarkStart w:id="138" w:name="_Toc19004_WPSOffice_Level1"/>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33"/>
      <w:bookmarkEnd w:id="134"/>
      <w:bookmarkEnd w:id="135"/>
      <w:bookmarkEnd w:id="136"/>
      <w:bookmarkEnd w:id="137"/>
      <w:bookmarkEnd w:id="138"/>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5"/>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39" w:name="_Toc3893_WPSOffice_Level1"/>
      <w:bookmarkStart w:id="140" w:name="_Toc26594_WPSOffice_Level1"/>
      <w:bookmarkStart w:id="141" w:name="_Toc10810_WPSOffice_Level1"/>
      <w:bookmarkStart w:id="142" w:name="_Toc5889_WPSOffice_Level1"/>
      <w:bookmarkStart w:id="143" w:name="_Toc5403_WPSOffice_Level1"/>
      <w:bookmarkStart w:id="144" w:name="_Toc12019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39"/>
      <w:bookmarkEnd w:id="140"/>
      <w:bookmarkEnd w:id="141"/>
      <w:bookmarkEnd w:id="142"/>
      <w:bookmarkEnd w:id="143"/>
      <w:bookmarkEnd w:id="144"/>
    </w:p>
    <w:p>
      <w:pPr>
        <w:topLinePunct/>
        <w:spacing w:line="440" w:lineRule="exact"/>
        <w:rPr>
          <w:rFonts w:ascii="Times New Roman" w:hAnsi="Times New Roman" w:cs="Times New Roman"/>
          <w:bCs/>
          <w:sz w:val="23"/>
          <w:szCs w:val="23"/>
        </w:rPr>
      </w:pPr>
    </w:p>
    <w:tbl>
      <w:tblPr>
        <w:tblStyle w:val="19"/>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在</w:t>
            </w:r>
            <w:r>
              <w:rPr>
                <w:rStyle w:val="27"/>
                <w:rFonts w:hint="eastAsia"/>
                <w:color w:val="auto"/>
                <w:sz w:val="22"/>
                <w:szCs w:val="22"/>
                <w:highlight w:val="none"/>
              </w:rPr>
              <w:t>“</w:t>
            </w:r>
            <w:r>
              <w:rPr>
                <w:rStyle w:val="27"/>
                <w:color w:val="auto"/>
                <w:sz w:val="22"/>
                <w:szCs w:val="22"/>
                <w:highlight w:val="none"/>
              </w:rPr>
              <w:t>信用中国</w:t>
            </w:r>
            <w:r>
              <w:rPr>
                <w:rStyle w:val="27"/>
                <w:rFonts w:hint="eastAsia"/>
                <w:color w:val="auto"/>
                <w:sz w:val="22"/>
                <w:szCs w:val="22"/>
                <w:highlight w:val="none"/>
              </w:rPr>
              <w:t>”</w:t>
            </w:r>
            <w:r>
              <w:rPr>
                <w:rStyle w:val="27"/>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keepNext w:val="0"/>
        <w:keepLines w:val="0"/>
        <w:widowControl/>
        <w:suppressLineNumbers w:val="0"/>
        <w:jc w:val="left"/>
      </w:pPr>
      <w:r>
        <w:rPr>
          <w:rFonts w:ascii="宋体" w:hAnsi="宋体"/>
          <w:szCs w:val="21"/>
          <w:highlight w:val="none"/>
        </w:rPr>
        <w:t>注：</w:t>
      </w:r>
      <w:r>
        <w:rPr>
          <w:rFonts w:ascii="楷体" w:hAnsi="楷体" w:eastAsia="楷体" w:cs="楷体"/>
          <w:color w:val="000000"/>
          <w:kern w:val="0"/>
          <w:sz w:val="22"/>
          <w:szCs w:val="22"/>
          <w:lang w:val="en-US" w:eastAsia="zh-CN" w:bidi="ar"/>
        </w:rPr>
        <w:t>注：</w:t>
      </w:r>
      <w:r>
        <w:rPr>
          <w:rFonts w:hint="default" w:ascii="Times New Roman" w:hAnsi="Times New Roman" w:eastAsia="宋体" w:cs="Times New Roman"/>
          <w:color w:val="000000"/>
          <w:kern w:val="0"/>
          <w:sz w:val="22"/>
          <w:szCs w:val="22"/>
          <w:lang w:val="en-US" w:eastAsia="zh-CN" w:bidi="ar"/>
        </w:rPr>
        <w:t>1.</w:t>
      </w:r>
      <w:r>
        <w:rPr>
          <w:rFonts w:hint="eastAsia" w:ascii="楷体" w:hAnsi="楷体" w:eastAsia="楷体" w:cs="楷体"/>
          <w:color w:val="000000"/>
          <w:kern w:val="0"/>
          <w:sz w:val="22"/>
          <w:szCs w:val="22"/>
          <w:lang w:val="en-US" w:eastAsia="zh-CN" w:bidi="ar"/>
        </w:rPr>
        <w:t xml:space="preserve">本表后应附： </w:t>
      </w:r>
    </w:p>
    <w:p>
      <w:pPr>
        <w:keepNext w:val="0"/>
        <w:keepLines w:val="0"/>
        <w:widowControl/>
        <w:suppressLineNumbers w:val="0"/>
        <w:jc w:val="left"/>
      </w:pPr>
      <w:r>
        <w:rPr>
          <w:rFonts w:hint="eastAsia" w:ascii="楷体" w:hAnsi="楷体" w:eastAsia="楷体" w:cs="楷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楷体" w:hAnsi="楷体" w:eastAsia="楷体" w:cs="楷体"/>
          <w:color w:val="000000"/>
          <w:kern w:val="0"/>
          <w:sz w:val="22"/>
          <w:szCs w:val="22"/>
          <w:lang w:val="en-US" w:eastAsia="zh-CN" w:bidi="ar"/>
        </w:rPr>
        <w:t xml:space="preserve">）投标人在全国企业信用信息公示系统中未被列入严重违法失信企业名单的网页截图扫描件； </w:t>
      </w:r>
    </w:p>
    <w:p>
      <w:pPr>
        <w:keepNext w:val="0"/>
        <w:keepLines w:val="0"/>
        <w:widowControl/>
        <w:suppressLineNumbers w:val="0"/>
        <w:jc w:val="left"/>
      </w:pPr>
      <w:r>
        <w:rPr>
          <w:rFonts w:hint="eastAsia" w:ascii="楷体" w:hAnsi="楷体" w:eastAsia="楷体" w:cs="楷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楷体" w:hAnsi="楷体" w:eastAsia="楷体" w:cs="楷体"/>
          <w:color w:val="000000"/>
          <w:kern w:val="0"/>
          <w:sz w:val="22"/>
          <w:szCs w:val="22"/>
          <w:lang w:val="en-US" w:eastAsia="zh-CN" w:bidi="ar"/>
        </w:rPr>
        <w:t>）投标人在</w:t>
      </w:r>
      <w:r>
        <w:rPr>
          <w:rFonts w:hint="default" w:ascii="Times New Roman" w:hAnsi="Times New Roman" w:eastAsia="宋体" w:cs="Times New Roman"/>
          <w:color w:val="000000"/>
          <w:kern w:val="0"/>
          <w:sz w:val="22"/>
          <w:szCs w:val="22"/>
          <w:lang w:val="en-US" w:eastAsia="zh-CN" w:bidi="ar"/>
        </w:rPr>
        <w:t>“</w:t>
      </w:r>
      <w:r>
        <w:rPr>
          <w:rFonts w:hint="eastAsia" w:ascii="楷体" w:hAnsi="楷体" w:eastAsia="楷体" w:cs="楷体"/>
          <w:color w:val="000000"/>
          <w:kern w:val="0"/>
          <w:sz w:val="22"/>
          <w:szCs w:val="22"/>
          <w:lang w:val="en-US" w:eastAsia="zh-CN" w:bidi="ar"/>
        </w:rPr>
        <w:t>信用中国</w:t>
      </w:r>
      <w:r>
        <w:rPr>
          <w:rFonts w:hint="default" w:ascii="Times New Roman" w:hAnsi="Times New Roman" w:eastAsia="宋体" w:cs="Times New Roman"/>
          <w:color w:val="000000"/>
          <w:kern w:val="0"/>
          <w:sz w:val="22"/>
          <w:szCs w:val="22"/>
          <w:lang w:val="en-US" w:eastAsia="zh-CN" w:bidi="ar"/>
        </w:rPr>
        <w:t>”</w:t>
      </w:r>
      <w:r>
        <w:rPr>
          <w:rFonts w:hint="eastAsia" w:ascii="楷体" w:hAnsi="楷体" w:eastAsia="楷体" w:cs="楷体"/>
          <w:color w:val="000000"/>
          <w:kern w:val="0"/>
          <w:sz w:val="22"/>
          <w:szCs w:val="22"/>
          <w:lang w:val="en-US" w:eastAsia="zh-CN" w:bidi="ar"/>
        </w:rPr>
        <w:t xml:space="preserve">网站中未被列入失信被执行人名单的网页截图扫描件；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2.</w:t>
      </w:r>
      <w:r>
        <w:rPr>
          <w:rFonts w:hint="eastAsia" w:ascii="楷体" w:hAnsi="楷体" w:eastAsia="楷体" w:cs="楷体"/>
          <w:color w:val="000000"/>
          <w:kern w:val="0"/>
          <w:sz w:val="22"/>
          <w:szCs w:val="22"/>
          <w:lang w:val="en-US" w:eastAsia="zh-CN" w:bidi="ar"/>
        </w:rPr>
        <w:t xml:space="preserve">投标人应如实填报，若经查实投标人存在瞒报行为，将取消其投标或中标资格。 </w:t>
      </w:r>
    </w:p>
    <w:p>
      <w:pPr>
        <w:autoSpaceDE w:val="0"/>
        <w:snapToGrid w:val="0"/>
        <w:ind w:right="109" w:rightChars="52" w:firstLine="440" w:firstLineChars="200"/>
        <w:rPr>
          <w:rFonts w:hint="eastAsia" w:ascii="宋体" w:hAnsi="宋体" w:cs="宋体"/>
          <w:sz w:val="22"/>
          <w:szCs w:val="18"/>
          <w:highlight w:val="yellow"/>
        </w:rPr>
      </w:pPr>
    </w:p>
    <w:p>
      <w:pPr>
        <w:pStyle w:val="6"/>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6"/>
      </w:pPr>
    </w:p>
    <w:p>
      <w:pPr>
        <w:pStyle w:val="6"/>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pStyle w:val="6"/>
        <w:rPr>
          <w:rFonts w:ascii="Times New Roman" w:hAnsi="Times New Roman" w:eastAsia="黑体" w:cs="Times New Roman"/>
          <w:sz w:val="27"/>
          <w:szCs w:val="27"/>
        </w:rPr>
      </w:pPr>
    </w:p>
    <w:p>
      <w:pPr>
        <w:rPr>
          <w:rFonts w:hint="eastAsia"/>
          <w:lang w:val="en-US" w:eastAsia="zh-CN"/>
        </w:rPr>
      </w:pPr>
      <w:bookmarkStart w:id="145" w:name="_Toc22303_WPSOffice_Level1"/>
      <w:bookmarkStart w:id="146" w:name="_Toc2428_WPSOffice_Level1"/>
      <w:bookmarkStart w:id="147" w:name="_Toc19034_WPSOffice_Level1"/>
      <w:bookmarkStart w:id="148" w:name="_Toc5957_WPSOffice_Level1"/>
      <w:bookmarkStart w:id="149" w:name="_Toc31963_WPSOffice_Level1"/>
      <w:bookmarkStart w:id="150" w:name="_Toc13165_WPSOffice_Level1"/>
    </w:p>
    <w:p>
      <w:pPr>
        <w:numPr>
          <w:ilvl w:val="0"/>
          <w:numId w:val="0"/>
        </w:numPr>
        <w:bidi w:val="0"/>
        <w:jc w:val="center"/>
        <w:rPr>
          <w:rFonts w:hint="eastAsia" w:ascii="Times New Roman"/>
          <w:color w:val="auto"/>
          <w:szCs w:val="24"/>
          <w:lang w:eastAsia="zh-CN"/>
        </w:rPr>
      </w:pPr>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6"/>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企业情况</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rPr>
          <w:rFonts w:hint="eastAsia" w:ascii="Times New Roman" w:hAnsi="Times New Roman" w:eastAsia="黑体" w:cs="Times New Roman"/>
          <w:sz w:val="28"/>
          <w:szCs w:val="28"/>
          <w:lang w:val="en-US" w:eastAsia="zh-CN"/>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八</w:t>
      </w:r>
      <w:r>
        <w:rPr>
          <w:rFonts w:ascii="Times New Roman" w:hAnsi="Times New Roman" w:eastAsia="黑体" w:cs="Times New Roman"/>
          <w:sz w:val="28"/>
          <w:szCs w:val="28"/>
        </w:rPr>
        <w:t>、其</w:t>
      </w:r>
      <w:bookmarkEnd w:id="145"/>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46"/>
      <w:bookmarkEnd w:id="147"/>
      <w:bookmarkEnd w:id="148"/>
      <w:bookmarkEnd w:id="149"/>
      <w:bookmarkEnd w:id="150"/>
    </w:p>
    <w:p>
      <w:pPr>
        <w:pStyle w:val="30"/>
        <w:rPr>
          <w:rFonts w:hint="default" w:ascii="Times New Roman" w:hAnsi="Times New Roman"/>
          <w:color w:val="auto"/>
          <w:szCs w:val="28"/>
        </w:rPr>
      </w:pPr>
    </w:p>
    <w:p>
      <w:pPr>
        <w:pStyle w:val="30"/>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8"/>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包</w:t>
      </w:r>
      <w:r>
        <w:rPr>
          <w:rFonts w:ascii="Times New Roman" w:hAnsi="Times New Roman" w:cs="Times New Roman"/>
          <w:sz w:val="24"/>
        </w:rPr>
        <w:t>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w:t>
      </w:r>
      <w:r>
        <w:rPr>
          <w:rFonts w:hint="eastAsia" w:ascii="Times New Roman" w:hAnsi="Times New Roman" w:cs="Times New Roman"/>
          <w:sz w:val="24"/>
          <w:lang w:eastAsia="zh-CN"/>
        </w:rPr>
        <w:t>采购文件</w:t>
      </w:r>
      <w:r>
        <w:rPr>
          <w:rFonts w:hint="eastAsia" w:ascii="Times New Roman" w:hAnsi="Times New Roman" w:cs="Times New Roman"/>
          <w:sz w:val="24"/>
        </w:rPr>
        <w:t>要求详细审核并确认全部</w:t>
      </w:r>
      <w:r>
        <w:rPr>
          <w:rFonts w:hint="eastAsia" w:ascii="Times New Roman" w:hAnsi="Times New Roman" w:cs="Times New Roman"/>
          <w:sz w:val="24"/>
          <w:lang w:eastAsia="zh-CN"/>
        </w:rPr>
        <w:t>采购文件</w:t>
      </w:r>
      <w:r>
        <w:rPr>
          <w:rFonts w:hint="eastAsia" w:ascii="Times New Roman" w:hAnsi="Times New Roman" w:cs="Times New Roman"/>
          <w:sz w:val="24"/>
        </w:rPr>
        <w:t>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w:t>
      </w:r>
      <w:r>
        <w:rPr>
          <w:rFonts w:hint="eastAsia" w:ascii="Times New Roman" w:hAnsi="Times New Roman" w:cs="Times New Roman"/>
          <w:sz w:val="24"/>
          <w:lang w:eastAsia="zh-CN"/>
        </w:rPr>
        <w:t>采购文件</w:t>
      </w:r>
      <w:r>
        <w:rPr>
          <w:rFonts w:hint="eastAsia" w:ascii="Times New Roman" w:hAnsi="Times New Roman" w:cs="Times New Roman"/>
          <w:sz w:val="24"/>
        </w:rPr>
        <w:t>、</w:t>
      </w:r>
      <w:r>
        <w:rPr>
          <w:rFonts w:hint="eastAsia" w:ascii="Times New Roman" w:hAnsi="Times New Roman" w:cs="Times New Roman"/>
          <w:sz w:val="24"/>
          <w:lang w:eastAsia="zh-CN"/>
        </w:rPr>
        <w:t>采购文件</w:t>
      </w:r>
      <w:r>
        <w:rPr>
          <w:rFonts w:hint="eastAsia" w:ascii="Times New Roman" w:hAnsi="Times New Roman" w:cs="Times New Roman"/>
          <w:sz w:val="24"/>
        </w:rPr>
        <w:t>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1" w:name="_Toc272486050"/>
      <w:bookmarkStart w:id="152" w:name="_Toc162490440"/>
      <w:bookmarkStart w:id="153" w:name="_Toc153421230"/>
      <w:r>
        <w:rPr>
          <w:rFonts w:hint="eastAsia" w:ascii="Times New Roman" w:hAnsi="Times New Roman" w:eastAsia="黑体" w:cs="Times New Roman"/>
          <w:sz w:val="28"/>
          <w:szCs w:val="28"/>
          <w:lang w:val="en-US" w:eastAsia="zh-CN"/>
        </w:rPr>
        <w:t>二、</w:t>
      </w:r>
      <w:bookmarkEnd w:id="151"/>
      <w:bookmarkEnd w:id="152"/>
      <w:bookmarkEnd w:id="153"/>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1．本报价单应与报价须知、合同条款、技术规范等文件结合起来查阅与理解。</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2．报价人应根据自身的实际生产能力填写报价单中各规格产品的单价。</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3．报价人在报价单中填写的单价应是将询价文件所列类型及牌号的产品运至</w:t>
      </w:r>
      <w:r>
        <w:rPr>
          <w:rFonts w:hint="eastAsia" w:ascii="宋体" w:hAnsi="宋体" w:eastAsia="宋体" w:cs="Times New Roman"/>
          <w:szCs w:val="21"/>
        </w:rPr>
        <w:t>安徽交控工程集团有限公司</w:t>
      </w:r>
      <w:r>
        <w:rPr>
          <w:rFonts w:hint="eastAsia" w:ascii="宋体" w:hAnsi="宋体" w:eastAsia="宋体" w:cs="Times New Roman"/>
          <w:bCs/>
          <w:szCs w:val="21"/>
        </w:rPr>
        <w:t>G0321德上高速祁门至皖赣界段工程WJ-JG合同段</w:t>
      </w:r>
      <w:r>
        <w:rPr>
          <w:rFonts w:hint="eastAsia" w:ascii="Times New Roman" w:hAnsi="Times New Roman" w:eastAsia="宋体" w:cs="Times New Roman"/>
        </w:rPr>
        <w:t>业主指定的承包人工地，除工地卸货费以外所有费用的综合单价，以及合同明示或暗示的所有责任、义务和一切风险。</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4．对于符合要求的询价响应文件，在签订合同协议书前，如发现报价单中有计算方面的算术差错，按询价文件规定修正。</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5．报价单中的各项费用均以人民币(元)结算。</w:t>
      </w:r>
    </w:p>
    <w:p>
      <w:pPr>
        <w:spacing w:line="360" w:lineRule="auto"/>
        <w:ind w:firstLine="440" w:firstLineChars="200"/>
        <w:rPr>
          <w:rFonts w:ascii="Times New Roman" w:hAnsi="Times New Roman" w:eastAsia="宋体" w:cs="Times New Roman"/>
          <w:b/>
          <w:highlight w:val="none"/>
          <w:shd w:val="clear" w:color="auto" w:fill="FFFF00"/>
        </w:rPr>
      </w:pPr>
      <w:r>
        <w:rPr>
          <w:rFonts w:hint="eastAsia" w:ascii="Times New Roman" w:hAnsi="Times New Roman" w:eastAsia="宋体" w:cs="Times New Roman"/>
          <w:sz w:val="22"/>
          <w:szCs w:val="22"/>
          <w:highlight w:val="none"/>
          <w:lang w:val="en-US" w:eastAsia="zh-CN"/>
        </w:rPr>
        <w:t xml:space="preserve">6. </w:t>
      </w:r>
      <w:r>
        <w:rPr>
          <w:rFonts w:hint="eastAsia" w:ascii="Times New Roman" w:hAnsi="Times New Roman" w:eastAsia="宋体" w:cs="Times New Roman"/>
          <w:sz w:val="22"/>
          <w:szCs w:val="22"/>
          <w:highlight w:val="none"/>
        </w:rPr>
        <w:t>根据业主要求提供的盘螺，盘螺</w:t>
      </w: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在带肋</w:t>
      </w:r>
      <w:r>
        <w:rPr>
          <w:rFonts w:hint="eastAsia" w:ascii="Times New Roman" w:hAnsi="Times New Roman" w:eastAsia="宋体" w:cs="Times New Roman"/>
          <w:sz w:val="22"/>
          <w:szCs w:val="22"/>
          <w:highlight w:val="none"/>
          <w:lang w:eastAsia="zh-CN"/>
        </w:rPr>
        <w:t>钢材</w:t>
      </w:r>
      <w:r>
        <w:rPr>
          <w:rFonts w:ascii="Times New Roman" w:hAnsi="Times New Roman" w:eastAsia="宋体" w:cs="Times New Roman"/>
          <w:sz w:val="22"/>
          <w:szCs w:val="22"/>
          <w:highlight w:val="none"/>
        </w:rPr>
        <w:t>单价</w:t>
      </w:r>
      <w:r>
        <w:rPr>
          <w:rFonts w:hint="eastAsia" w:ascii="Times New Roman" w:hAnsi="Times New Roman" w:eastAsia="宋体" w:cs="Times New Roman"/>
          <w:sz w:val="22"/>
          <w:szCs w:val="22"/>
          <w:highlight w:val="none"/>
        </w:rPr>
        <w:t>基础上增加4</w:t>
      </w:r>
      <w:r>
        <w:rPr>
          <w:rFonts w:ascii="Times New Roman" w:hAnsi="Times New Roman" w:eastAsia="宋体" w:cs="Times New Roman"/>
          <w:sz w:val="22"/>
          <w:szCs w:val="22"/>
          <w:highlight w:val="none"/>
        </w:rPr>
        <w:t>00元</w:t>
      </w:r>
      <w:r>
        <w:rPr>
          <w:rFonts w:hint="eastAsia" w:ascii="Times New Roman" w:hAnsi="Times New Roman" w:eastAsia="宋体" w:cs="Times New Roman"/>
          <w:sz w:val="22"/>
          <w:szCs w:val="22"/>
          <w:highlight w:val="none"/>
        </w:rPr>
        <w:t>/吨。带肋</w:t>
      </w: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定尺为9m或12m。</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val="en-US" w:eastAsia="zh-CN"/>
        </w:rPr>
        <w:t>7.</w:t>
      </w: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结算价格实行浮动价，本合同的价格随物价波动每各自然月进行调整。</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（1）</w:t>
      </w:r>
      <w:r>
        <w:rPr>
          <w:rFonts w:hint="eastAsia" w:ascii="Times New Roman" w:hAnsi="Times New Roman" w:eastAsia="宋体" w:cs="Times New Roman"/>
          <w:sz w:val="22"/>
          <w:szCs w:val="22"/>
          <w:highlight w:val="none"/>
          <w:lang w:eastAsia="zh-CN"/>
        </w:rPr>
        <w:t>钢材</w:t>
      </w:r>
      <w:r>
        <w:rPr>
          <w:rFonts w:hint="eastAsia" w:ascii="Times New Roman" w:hAnsi="Times New Roman" w:eastAsia="宋体" w:cs="Times New Roman"/>
          <w:sz w:val="22"/>
          <w:szCs w:val="22"/>
          <w:highlight w:val="none"/>
        </w:rPr>
        <w:t>实际结算单价：实行以成交到场单价为基础的动态管理，且成交运杂费单价在合同执行过程中保持不变。</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（2）基准价</w:t>
      </w:r>
    </w:p>
    <w:p>
      <w:pPr>
        <w:spacing w:line="360" w:lineRule="auto"/>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基准期内“我的钢铁网(www.mysteel.com)”2023年 8月 25 日、2023 年9月 5日、2023 年9月15 日公布的合肥市场建筑钢材价格行情所对应的马钢、信钢、莱钢永锋HRB400EΦ12及HRB400EΦ25市场价格数据的算术平均值为招标物资对应规格的带肋钢材(HRB400E)基准价。</w:t>
      </w:r>
    </w:p>
    <w:p>
      <w:pPr>
        <w:spacing w:line="360" w:lineRule="auto"/>
        <w:ind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基准期内“我的钢铁网(wwwmysteel.com)”2023 年 8月 25 日、2023 年 9 月 5 日、2023 年9月15日公布的合肥市场建筑钢材价格行情所对应的马钢、信钢、莱钢永锋高线 HPB3006-10市场价格数据的算术平均值为招标物资对应规格的光圆钢材(HPB300)基准价。</w:t>
      </w:r>
    </w:p>
    <w:p>
      <w:pPr>
        <w:spacing w:line="360" w:lineRule="auto"/>
        <w:ind w:firstLine="480" w:firstLineChars="200"/>
        <w:rPr>
          <w:rFonts w:ascii="宋体" w:hAnsi="宋体" w:eastAsia="宋体" w:cs="Times New Roman"/>
          <w:bCs/>
          <w:color w:val="auto"/>
          <w:sz w:val="24"/>
          <w:highlight w:val="none"/>
        </w:rPr>
      </w:pPr>
      <w:r>
        <w:rPr>
          <w:rFonts w:ascii="宋体" w:hAnsi="宋体" w:eastAsia="宋体" w:cs="Times New Roman"/>
          <w:bCs/>
          <w:color w:val="auto"/>
          <w:sz w:val="24"/>
          <w:highlight w:val="none"/>
        </w:rPr>
        <w:t>附：基准期钢材价格：</w:t>
      </w:r>
    </w:p>
    <w:p>
      <w:pPr>
        <w:spacing w:line="360" w:lineRule="auto"/>
        <w:ind w:firstLine="482" w:firstLineChars="200"/>
        <w:rPr>
          <w:rFonts w:ascii="宋体" w:hAnsi="宋体" w:eastAsia="宋体" w:cs="Times New Roman"/>
          <w:b/>
          <w:bCs w:val="0"/>
          <w:color w:val="auto"/>
          <w:sz w:val="24"/>
          <w:highlight w:val="none"/>
          <w:u w:val="single"/>
        </w:rPr>
      </w:pPr>
      <w:r>
        <w:rPr>
          <w:rFonts w:ascii="宋体" w:hAnsi="宋体" w:eastAsia="宋体" w:cs="Times New Roman"/>
          <w:b/>
          <w:bCs w:val="0"/>
          <w:color w:val="auto"/>
          <w:sz w:val="24"/>
          <w:highlight w:val="none"/>
          <w:u w:val="single"/>
        </w:rPr>
        <w:t>带肋</w:t>
      </w:r>
      <w:r>
        <w:rPr>
          <w:rFonts w:hint="eastAsia" w:ascii="宋体" w:hAnsi="宋体" w:eastAsia="宋体" w:cs="Times New Roman"/>
          <w:b/>
          <w:bCs w:val="0"/>
          <w:color w:val="auto"/>
          <w:sz w:val="24"/>
          <w:highlight w:val="none"/>
          <w:u w:val="single"/>
          <w:lang w:eastAsia="zh-CN"/>
        </w:rPr>
        <w:t>钢材</w:t>
      </w:r>
      <w:r>
        <w:rPr>
          <w:rFonts w:ascii="宋体" w:hAnsi="宋体" w:eastAsia="宋体" w:cs="Times New Roman"/>
          <w:b/>
          <w:bCs w:val="0"/>
          <w:color w:val="auto"/>
          <w:sz w:val="24"/>
          <w:highlight w:val="none"/>
          <w:u w:val="single"/>
        </w:rPr>
        <w:t>(HRB400</w:t>
      </w:r>
      <w:r>
        <w:rPr>
          <w:rFonts w:hint="eastAsia" w:ascii="宋体" w:hAnsi="宋体" w:eastAsia="宋体" w:cs="Times New Roman"/>
          <w:b/>
          <w:bCs w:val="0"/>
          <w:color w:val="auto"/>
          <w:sz w:val="24"/>
          <w:highlight w:val="none"/>
          <w:u w:val="single"/>
        </w:rPr>
        <w:t>E</w:t>
      </w:r>
      <w:r>
        <w:rPr>
          <w:rFonts w:ascii="宋体" w:hAnsi="宋体" w:eastAsia="宋体" w:cs="Times New Roman"/>
          <w:b/>
          <w:bCs w:val="0"/>
          <w:color w:val="auto"/>
          <w:sz w:val="24"/>
          <w:highlight w:val="none"/>
          <w:u w:val="single"/>
        </w:rPr>
        <w:t xml:space="preserve">) </w:t>
      </w:r>
      <w:r>
        <w:rPr>
          <w:rFonts w:hint="eastAsia" w:ascii="宋体" w:hAnsi="宋体" w:eastAsia="宋体" w:cs="Times New Roman"/>
          <w:b/>
          <w:bCs w:val="0"/>
          <w:color w:val="auto"/>
          <w:sz w:val="24"/>
          <w:highlight w:val="none"/>
          <w:u w:val="single"/>
        </w:rPr>
        <w:t>：</w:t>
      </w:r>
      <w:r>
        <w:rPr>
          <w:rFonts w:hint="eastAsia" w:ascii="宋体" w:hAnsi="宋体" w:eastAsia="宋体" w:cs="Times New Roman"/>
          <w:b/>
          <w:bCs w:val="0"/>
          <w:color w:val="auto"/>
          <w:sz w:val="24"/>
          <w:highlight w:val="none"/>
          <w:u w:val="single"/>
          <w:lang w:val="en-US" w:eastAsia="zh-CN"/>
        </w:rPr>
        <w:t>4030.56</w:t>
      </w:r>
      <w:r>
        <w:rPr>
          <w:rFonts w:hint="eastAsia" w:ascii="宋体" w:hAnsi="宋体" w:eastAsia="宋体" w:cs="Times New Roman"/>
          <w:b/>
          <w:bCs w:val="0"/>
          <w:color w:val="auto"/>
          <w:sz w:val="24"/>
          <w:highlight w:val="none"/>
          <w:u w:val="single"/>
        </w:rPr>
        <w:t>元</w:t>
      </w:r>
    </w:p>
    <w:p>
      <w:pPr>
        <w:spacing w:line="360" w:lineRule="auto"/>
        <w:ind w:firstLine="482" w:firstLineChars="200"/>
        <w:rPr>
          <w:rFonts w:hint="eastAsia" w:ascii="宋体" w:hAnsi="宋体" w:eastAsia="宋体" w:cs="Times New Roman"/>
          <w:b/>
          <w:bCs w:val="0"/>
          <w:color w:val="auto"/>
          <w:sz w:val="24"/>
          <w:highlight w:val="none"/>
          <w:u w:val="single"/>
        </w:rPr>
      </w:pPr>
      <w:r>
        <w:rPr>
          <w:rFonts w:ascii="宋体" w:hAnsi="宋体" w:eastAsia="宋体" w:cs="Times New Roman"/>
          <w:b/>
          <w:bCs w:val="0"/>
          <w:color w:val="auto"/>
          <w:sz w:val="24"/>
          <w:highlight w:val="none"/>
          <w:u w:val="single"/>
        </w:rPr>
        <w:t>光圆</w:t>
      </w:r>
      <w:r>
        <w:rPr>
          <w:rFonts w:hint="eastAsia" w:ascii="宋体" w:hAnsi="宋体" w:eastAsia="宋体" w:cs="Times New Roman"/>
          <w:b/>
          <w:bCs w:val="0"/>
          <w:color w:val="auto"/>
          <w:sz w:val="24"/>
          <w:highlight w:val="none"/>
          <w:u w:val="single"/>
          <w:lang w:eastAsia="zh-CN"/>
        </w:rPr>
        <w:t>钢材</w:t>
      </w:r>
      <w:r>
        <w:rPr>
          <w:rFonts w:ascii="宋体" w:hAnsi="宋体" w:eastAsia="宋体" w:cs="Times New Roman"/>
          <w:b/>
          <w:bCs w:val="0"/>
          <w:color w:val="auto"/>
          <w:sz w:val="24"/>
          <w:highlight w:val="none"/>
          <w:u w:val="single"/>
        </w:rPr>
        <w:t>（HPB300）</w:t>
      </w:r>
      <w:r>
        <w:rPr>
          <w:rFonts w:hint="eastAsia" w:ascii="宋体" w:hAnsi="宋体" w:eastAsia="宋体" w:cs="Times New Roman"/>
          <w:b/>
          <w:bCs w:val="0"/>
          <w:color w:val="auto"/>
          <w:sz w:val="24"/>
          <w:highlight w:val="none"/>
          <w:u w:val="single"/>
        </w:rPr>
        <w:t>：</w:t>
      </w:r>
      <w:r>
        <w:rPr>
          <w:rFonts w:hint="eastAsia" w:ascii="宋体" w:hAnsi="宋体" w:eastAsia="宋体" w:cs="Times New Roman"/>
          <w:b/>
          <w:bCs w:val="0"/>
          <w:color w:val="auto"/>
          <w:sz w:val="24"/>
          <w:highlight w:val="none"/>
          <w:u w:val="single"/>
          <w:lang w:val="en-US" w:eastAsia="zh-CN"/>
        </w:rPr>
        <w:t>4174.44</w:t>
      </w:r>
      <w:r>
        <w:rPr>
          <w:rFonts w:hint="eastAsia" w:ascii="宋体" w:hAnsi="宋体" w:eastAsia="宋体" w:cs="Times New Roman"/>
          <w:b/>
          <w:bCs w:val="0"/>
          <w:color w:val="auto"/>
          <w:sz w:val="24"/>
          <w:highlight w:val="none"/>
          <w:u w:val="single"/>
        </w:rPr>
        <w:t>元</w:t>
      </w:r>
    </w:p>
    <w:p>
      <w:pPr>
        <w:spacing w:line="360" w:lineRule="auto"/>
        <w:ind w:firstLine="480" w:firstLineChars="200"/>
        <w:rPr>
          <w:rFonts w:hint="eastAsia" w:ascii="宋体" w:hAnsi="宋体" w:eastAsia="宋体" w:cs="Times New Roman"/>
          <w:bCs/>
          <w:color w:val="auto"/>
          <w:sz w:val="24"/>
          <w:highlight w:val="yellow"/>
        </w:rPr>
      </w:pPr>
    </w:p>
    <w:p>
      <w:pPr>
        <w:spacing w:line="360" w:lineRule="auto"/>
        <w:ind w:firstLine="480" w:firstLineChars="200"/>
        <w:rPr>
          <w:rFonts w:hint="eastAsia" w:ascii="宋体" w:hAnsi="宋体" w:eastAsia="宋体" w:cs="Times New Roman"/>
          <w:bCs/>
          <w:color w:val="auto"/>
          <w:sz w:val="24"/>
          <w:highlight w:val="yellow"/>
        </w:rPr>
      </w:pP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857"/>
        <w:gridCol w:w="576"/>
        <w:gridCol w:w="576"/>
        <w:gridCol w:w="719"/>
        <w:gridCol w:w="742"/>
        <w:gridCol w:w="743"/>
        <w:gridCol w:w="745"/>
        <w:gridCol w:w="743"/>
        <w:gridCol w:w="743"/>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w:t>
            </w: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8月25日</w:t>
            </w:r>
          </w:p>
        </w:tc>
        <w:tc>
          <w:tcPr>
            <w:tcW w:w="1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9月5日</w:t>
            </w:r>
          </w:p>
        </w:tc>
        <w:tc>
          <w:tcPr>
            <w:tcW w:w="1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带肋钢筋（</w:t>
            </w:r>
            <w:r>
              <w:rPr>
                <w:rFonts w:hint="default" w:ascii="Times New Roman" w:hAnsi="Times New Roman" w:eastAsia="宋体" w:cs="Times New Roman"/>
                <w:i w:val="0"/>
                <w:iCs w:val="0"/>
                <w:color w:val="000000"/>
                <w:kern w:val="0"/>
                <w:sz w:val="18"/>
                <w:szCs w:val="18"/>
                <w:u w:val="none"/>
                <w:lang w:val="en-US" w:eastAsia="zh-CN" w:bidi="ar"/>
              </w:rPr>
              <w:t>HRB400E</w:t>
            </w:r>
            <w:r>
              <w:rPr>
                <w:rFonts w:hint="eastAsia" w:ascii="宋体" w:hAnsi="宋体" w:eastAsia="宋体" w:cs="宋体"/>
                <w:i w:val="0"/>
                <w:iCs w:val="0"/>
                <w:color w:val="000000"/>
                <w:kern w:val="0"/>
                <w:sz w:val="18"/>
                <w:szCs w:val="18"/>
                <w:u w:val="none"/>
                <w:lang w:val="en-US" w:eastAsia="zh-CN" w:bidi="ar"/>
              </w:rPr>
              <w:t>）</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Φ12</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4060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4020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4090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4070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4140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Φ25</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3970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3930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4010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基准价</w:t>
            </w:r>
          </w:p>
        </w:tc>
        <w:tc>
          <w:tcPr>
            <w:tcW w:w="3939"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w:t>
            </w: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8月25日</w:t>
            </w:r>
          </w:p>
        </w:tc>
        <w:tc>
          <w:tcPr>
            <w:tcW w:w="1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9月5日</w:t>
            </w:r>
          </w:p>
        </w:tc>
        <w:tc>
          <w:tcPr>
            <w:tcW w:w="1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信钢</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莱钢永锋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高线</w:t>
            </w:r>
            <w:r>
              <w:rPr>
                <w:rFonts w:hint="default" w:ascii="Times New Roman" w:hAnsi="Times New Roman" w:eastAsia="宋体" w:cs="Times New Roman"/>
                <w:i w:val="0"/>
                <w:iCs w:val="0"/>
                <w:color w:val="000000"/>
                <w:kern w:val="0"/>
                <w:sz w:val="21"/>
                <w:szCs w:val="21"/>
                <w:u w:val="none"/>
                <w:lang w:val="en-US" w:eastAsia="zh-CN" w:bidi="ar"/>
              </w:rPr>
              <w:t>(HPB300)</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Φ6-10</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4090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4220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4190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4240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基准价</w:t>
            </w:r>
          </w:p>
        </w:tc>
        <w:tc>
          <w:tcPr>
            <w:tcW w:w="3939"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4174.44</w:t>
            </w:r>
          </w:p>
        </w:tc>
      </w:tr>
    </w:tbl>
    <w:p>
      <w:pPr>
        <w:spacing w:line="400" w:lineRule="atLeast"/>
        <w:ind w:firstLine="440" w:firstLineChars="200"/>
        <w:rPr>
          <w:rFonts w:hint="eastAsia" w:ascii="Times New Roman" w:hAnsi="Times New Roman" w:eastAsia="宋体" w:cs="Times New Roman"/>
          <w:sz w:val="22"/>
          <w:szCs w:val="22"/>
          <w:highlight w:val="none"/>
        </w:rPr>
      </w:pP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（3）比较价</w:t>
      </w:r>
    </w:p>
    <w:p>
      <w:pPr>
        <w:spacing w:line="400" w:lineRule="atLeast"/>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供应期内“我的钢铁网 (www.mysteel.com)”公布的上月 25 日、本月 5 日、本月15日合肥市场建筑钢材价格行情所对应的马钢、信钢、莱钢永锋HRB400EΦ12及HRB400EΦ25市场价格数据的算术平均值为招标物资对应规格的带肋钢材(HRB400)比较价(上月21日至本月 20日为“供应期”月份)。</w:t>
      </w:r>
    </w:p>
    <w:p>
      <w:pPr>
        <w:spacing w:line="400" w:lineRule="atLeast"/>
        <w:ind w:firstLine="440" w:firstLineChars="200"/>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rPr>
        <w:t>供应期内“我的钢铁网(www.mysteel.com)”公布的上月 25 日、本月 5 日、本月15日合肥市场建筑钢材价格行情所对应的马钢、信钢、莱钢永锋HPB3006-10 市场价格数据的算术平均值为招标物资对应规格的光圆钢材(HPB300)比较价(上月 21至本月 20日为“供应期”月份)。</w:t>
      </w:r>
    </w:p>
    <w:p>
      <w:pPr>
        <w:spacing w:line="400" w:lineRule="atLeast"/>
        <w:ind w:firstLine="440" w:firstLineChars="200"/>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（4）结算单价</w:t>
      </w:r>
    </w:p>
    <w:p>
      <w:pPr>
        <w:spacing w:line="400" w:lineRule="atLeast"/>
        <w:ind w:firstLine="442" w:firstLineChars="200"/>
        <w:rPr>
          <w:rFonts w:ascii="Times New Roman" w:hAnsi="Times New Roman" w:eastAsia="宋体" w:cs="Times New Roman"/>
          <w:b/>
          <w:bCs/>
          <w:sz w:val="22"/>
          <w:szCs w:val="22"/>
          <w:highlight w:val="none"/>
        </w:rPr>
      </w:pPr>
      <w:r>
        <w:rPr>
          <w:rFonts w:hint="eastAsia" w:ascii="Times New Roman" w:hAnsi="Times New Roman" w:eastAsia="宋体" w:cs="Times New Roman"/>
          <w:b/>
          <w:bCs/>
          <w:sz w:val="22"/>
          <w:szCs w:val="22"/>
          <w:highlight w:val="none"/>
        </w:rPr>
        <w:t>结算单价=报价单价+（比较价-基准价）</w:t>
      </w:r>
    </w:p>
    <w:p>
      <w:pPr>
        <w:spacing w:line="400" w:lineRule="atLeast"/>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highlight w:val="none"/>
        </w:rPr>
        <w:t>注：合同执行期间，基准价按财政部税务总局《关于调整增值税税率的通知》（财税〔2018〕32号）规定的的新税率予以换算，换算后的基准价计入调价时基准价，价格调整按同一税率标准计算基准价、比较价。</w:t>
      </w:r>
    </w:p>
    <w:p>
      <w:pPr>
        <w:spacing w:line="400" w:lineRule="atLeast"/>
        <w:ind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（5）我的钢铁网未公布的规格、品种价格的确定:</w:t>
      </w:r>
    </w:p>
    <w:p>
      <w:pPr>
        <w:spacing w:line="400" w:lineRule="atLeast"/>
        <w:ind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若《我的钢铁网》当天遇节假日未公布市场价格，则时间向后顺延；若对应的钢厂无信息价，则取剩余钢厂数据算术平均值为比较价；若一日之内同厂家同规格公布有多个市场价格数据的，以第一次公布的市场价格数据为准。 我的钢铁网未公布规格的基准价、比较价比照该网已公布最接近的小规格的基准价、比较价进行确定。没有最接近的小规格时按最接近的大规格确定。</w:t>
      </w:r>
    </w:p>
    <w:p>
      <w:pPr>
        <w:rPr>
          <w:rFonts w:hint="eastAsia"/>
          <w:lang w:val="en-US" w:eastAsia="zh-CN"/>
        </w:rPr>
      </w:pPr>
      <w:r>
        <w:rPr>
          <w:rFonts w:hint="eastAsia"/>
          <w:lang w:val="en-US" w:eastAsia="zh-CN"/>
        </w:rPr>
        <w:br w:type="page"/>
      </w:r>
    </w:p>
    <w:p>
      <w:pPr>
        <w:pStyle w:val="17"/>
        <w:jc w:val="right"/>
        <w:rPr>
          <w:rFonts w:hint="eastAsia"/>
          <w:lang w:val="en-US" w:eastAsia="zh-CN"/>
        </w:rPr>
      </w:pPr>
    </w:p>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B．安徽交控工程集团有限公司G0321德上高速祁门至皖赣界段工程WJ-JG合同段</w:t>
      </w:r>
      <w:r>
        <w:rPr>
          <w:rFonts w:hint="eastAsia" w:ascii="仿宋_GB2312" w:hAnsi="宋体" w:eastAsia="仿宋_GB2312" w:cs="宋体"/>
          <w:b/>
          <w:bCs/>
          <w:kern w:val="0"/>
          <w:sz w:val="32"/>
          <w:szCs w:val="32"/>
          <w:lang w:eastAsia="zh-CN"/>
        </w:rPr>
        <w:t>钢材</w:t>
      </w:r>
      <w:r>
        <w:rPr>
          <w:rFonts w:hint="eastAsia" w:ascii="仿宋_GB2312" w:hAnsi="宋体" w:eastAsia="仿宋_GB2312" w:cs="宋体"/>
          <w:b/>
          <w:bCs/>
          <w:kern w:val="0"/>
          <w:sz w:val="32"/>
          <w:szCs w:val="32"/>
        </w:rPr>
        <w:t>采购询价报价清单汇总表</w:t>
      </w:r>
    </w:p>
    <w:tbl>
      <w:tblPr>
        <w:tblStyle w:val="19"/>
        <w:tblW w:w="0" w:type="auto"/>
        <w:jc w:val="center"/>
        <w:tblLayout w:type="fixed"/>
        <w:tblCellMar>
          <w:top w:w="0" w:type="dxa"/>
          <w:left w:w="108" w:type="dxa"/>
          <w:bottom w:w="0" w:type="dxa"/>
          <w:right w:w="108" w:type="dxa"/>
        </w:tblCellMar>
      </w:tblPr>
      <w:tblGrid>
        <w:gridCol w:w="778"/>
        <w:gridCol w:w="1510"/>
        <w:gridCol w:w="1511"/>
        <w:gridCol w:w="778"/>
        <w:gridCol w:w="1327"/>
        <w:gridCol w:w="1510"/>
        <w:gridCol w:w="1330"/>
      </w:tblGrid>
      <w:tr>
        <w:tblPrEx>
          <w:tblCellMar>
            <w:top w:w="0" w:type="dxa"/>
            <w:left w:w="108" w:type="dxa"/>
            <w:bottom w:w="0" w:type="dxa"/>
            <w:right w:w="108" w:type="dxa"/>
          </w:tblCellMar>
        </w:tblPrEx>
        <w:trPr>
          <w:trHeight w:val="710" w:hRule="atLeast"/>
          <w:jc w:val="center"/>
        </w:trPr>
        <w:tc>
          <w:tcPr>
            <w:tcW w:w="8744" w:type="dxa"/>
            <w:gridSpan w:val="7"/>
            <w:tcBorders>
              <w:top w:val="nil"/>
              <w:left w:val="nil"/>
              <w:bottom w:val="nil"/>
              <w:right w:val="nil"/>
            </w:tcBorders>
            <w:noWrap w:val="0"/>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71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5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材料品种</w:t>
            </w:r>
          </w:p>
        </w:tc>
        <w:tc>
          <w:tcPr>
            <w:tcW w:w="15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7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132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5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w:t>
            </w:r>
          </w:p>
        </w:tc>
      </w:tr>
      <w:tr>
        <w:tblPrEx>
          <w:tblCellMar>
            <w:top w:w="0" w:type="dxa"/>
            <w:left w:w="108" w:type="dxa"/>
            <w:bottom w:w="0" w:type="dxa"/>
            <w:right w:w="108" w:type="dxa"/>
          </w:tblCellMar>
        </w:tblPrEx>
        <w:trPr>
          <w:trHeight w:val="710" w:hRule="atLeast"/>
          <w:jc w:val="center"/>
        </w:trPr>
        <w:tc>
          <w:tcPr>
            <w:tcW w:w="77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10" w:type="dxa"/>
            <w:vMerge w:val="restart"/>
            <w:tcBorders>
              <w:top w:val="nil"/>
              <w:left w:val="nil"/>
              <w:right w:val="single" w:color="auto" w:sz="4" w:space="0"/>
            </w:tcBorders>
            <w:noWrap w:val="0"/>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钢材</w:t>
            </w:r>
          </w:p>
        </w:tc>
        <w:tc>
          <w:tcPr>
            <w:tcW w:w="151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pacing w:val="-1"/>
                <w:szCs w:val="21"/>
              </w:rPr>
              <w:t>光圆</w:t>
            </w:r>
            <w:r>
              <w:rPr>
                <w:rFonts w:hint="eastAsia" w:ascii="宋体" w:hAnsi="宋体" w:eastAsia="宋体" w:cs="宋体"/>
                <w:spacing w:val="-1"/>
                <w:szCs w:val="21"/>
                <w:lang w:eastAsia="zh-CN"/>
              </w:rPr>
              <w:t>钢材</w:t>
            </w:r>
          </w:p>
        </w:tc>
        <w:tc>
          <w:tcPr>
            <w:tcW w:w="778" w:type="dxa"/>
            <w:tcBorders>
              <w:top w:val="nil"/>
              <w:left w:val="nil"/>
              <w:bottom w:val="single" w:color="auto" w:sz="4" w:space="0"/>
              <w:right w:val="single" w:color="auto" w:sz="4" w:space="0"/>
            </w:tcBorders>
            <w:noWrap w:val="0"/>
            <w:vAlign w:val="center"/>
          </w:tcPr>
          <w:p>
            <w:pPr>
              <w:jc w:val="center"/>
              <w:rPr>
                <w:rFonts w:ascii="宋体" w:hAnsi="宋体" w:eastAsia="宋体" w:cs="宋体"/>
                <w:kern w:val="0"/>
                <w:szCs w:val="21"/>
              </w:rPr>
            </w:pPr>
            <w:r>
              <w:rPr>
                <w:rFonts w:hint="eastAsia" w:ascii="宋体" w:hAnsi="宋体" w:eastAsia="宋体" w:cs="宋体"/>
                <w:spacing w:val="-1"/>
                <w:szCs w:val="21"/>
              </w:rPr>
              <w:t>T</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等线" w:hAnsi="等线" w:eastAsia="等线" w:cs="Times New Roman"/>
                <w:color w:val="000000"/>
                <w:kern w:val="0"/>
                <w:sz w:val="20"/>
                <w:szCs w:val="20"/>
              </w:rPr>
            </w:pPr>
            <w:r>
              <w:rPr>
                <w:rFonts w:ascii="宋体" w:hAnsi="宋体" w:eastAsia="宋体" w:cs="宋体"/>
                <w:spacing w:val="-1"/>
                <w:szCs w:val="21"/>
              </w:rPr>
              <w:t>5500</w:t>
            </w:r>
          </w:p>
        </w:tc>
        <w:tc>
          <w:tcPr>
            <w:tcW w:w="15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p>
        </w:tc>
        <w:tc>
          <w:tcPr>
            <w:tcW w:w="13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71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510" w:type="dxa"/>
            <w:vMerge w:val="continue"/>
            <w:tcBorders>
              <w:left w:val="nil"/>
              <w:right w:val="single" w:color="auto" w:sz="4" w:space="0"/>
            </w:tcBorders>
            <w:noWrap w:val="0"/>
            <w:vAlign w:val="center"/>
          </w:tcPr>
          <w:p>
            <w:pPr>
              <w:jc w:val="center"/>
              <w:rPr>
                <w:rFonts w:hint="eastAsia" w:ascii="宋体" w:hAnsi="宋体" w:eastAsia="宋体" w:cs="宋体"/>
                <w:kern w:val="0"/>
                <w:szCs w:val="21"/>
              </w:rPr>
            </w:pPr>
          </w:p>
        </w:tc>
        <w:tc>
          <w:tcPr>
            <w:tcW w:w="1511"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宋体" w:hAnsi="宋体" w:eastAsia="宋体" w:cs="宋体"/>
                <w:spacing w:val="-1"/>
                <w:szCs w:val="21"/>
              </w:rPr>
              <w:t>带肋</w:t>
            </w:r>
            <w:r>
              <w:rPr>
                <w:rFonts w:hint="eastAsia" w:ascii="宋体" w:hAnsi="宋体" w:eastAsia="宋体" w:cs="宋体"/>
                <w:spacing w:val="-1"/>
                <w:szCs w:val="21"/>
                <w:lang w:eastAsia="zh-CN"/>
              </w:rPr>
              <w:t>钢材</w:t>
            </w:r>
          </w:p>
        </w:tc>
        <w:tc>
          <w:tcPr>
            <w:tcW w:w="7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Cs w:val="21"/>
              </w:rPr>
            </w:pPr>
            <w:r>
              <w:rPr>
                <w:rFonts w:hint="eastAsia" w:ascii="宋体" w:hAnsi="宋体" w:eastAsia="宋体" w:cs="宋体"/>
                <w:spacing w:val="-1"/>
                <w:szCs w:val="21"/>
              </w:rPr>
              <w:t>T</w:t>
            </w:r>
          </w:p>
        </w:tc>
        <w:tc>
          <w:tcPr>
            <w:tcW w:w="1327"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等线" w:hAnsi="等线" w:eastAsia="等线" w:cs="Times New Roman"/>
                <w:color w:val="000000"/>
                <w:sz w:val="20"/>
                <w:szCs w:val="20"/>
              </w:rPr>
            </w:pPr>
            <w:r>
              <w:rPr>
                <w:rFonts w:ascii="宋体" w:hAnsi="宋体" w:eastAsia="宋体" w:cs="宋体"/>
                <w:color w:val="000000"/>
                <w:kern w:val="0"/>
                <w:szCs w:val="21"/>
                <w:lang w:bidi="ar"/>
              </w:rPr>
              <w:t>47500</w:t>
            </w:r>
          </w:p>
        </w:tc>
        <w:tc>
          <w:tcPr>
            <w:tcW w:w="1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p>
        </w:tc>
        <w:tc>
          <w:tcPr>
            <w:tcW w:w="13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710" w:hRule="atLeast"/>
          <w:jc w:val="center"/>
        </w:trPr>
        <w:tc>
          <w:tcPr>
            <w:tcW w:w="77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302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报价报价（3=1+2）</w:t>
            </w:r>
          </w:p>
        </w:tc>
        <w:tc>
          <w:tcPr>
            <w:tcW w:w="494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人民币（大写）</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tc>
      </w:tr>
    </w:tbl>
    <w:p>
      <w:pPr>
        <w:widowControl/>
        <w:spacing w:line="360" w:lineRule="auto"/>
        <w:jc w:val="center"/>
        <w:rPr>
          <w:rFonts w:hint="eastAsia" w:ascii="Times New Roman" w:hAnsi="Times New Roman" w:eastAsia="宋体" w:cs="Times New Roman"/>
          <w:b/>
        </w:rPr>
      </w:pPr>
    </w:p>
    <w:p>
      <w:pPr>
        <w:spacing w:line="360" w:lineRule="auto"/>
        <w:ind w:firstLine="210" w:firstLineChars="100"/>
        <w:rPr>
          <w:rFonts w:hint="eastAsia" w:ascii="宋体" w:hAnsi="宋体" w:eastAsia="宋体" w:cs="宋体"/>
          <w:kern w:val="0"/>
          <w:szCs w:val="21"/>
          <w:u w:val="single"/>
        </w:rPr>
      </w:pPr>
      <w:r>
        <w:rPr>
          <w:rFonts w:hint="eastAsia" w:ascii="宋体" w:hAnsi="宋体" w:eastAsia="宋体" w:cs="宋体"/>
          <w:kern w:val="0"/>
          <w:szCs w:val="21"/>
        </w:rPr>
        <w:t>报价人：</w:t>
      </w:r>
      <w:r>
        <w:rPr>
          <w:rFonts w:hint="eastAsia" w:ascii="宋体" w:hAnsi="宋体" w:eastAsia="宋体" w:cs="宋体"/>
          <w:kern w:val="0"/>
          <w:szCs w:val="21"/>
          <w:u w:val="single"/>
        </w:rPr>
        <w:t xml:space="preserve">                （盖章）</w:t>
      </w:r>
    </w:p>
    <w:p>
      <w:pPr>
        <w:spacing w:line="360" w:lineRule="auto"/>
        <w:ind w:firstLine="210" w:firstLineChars="100"/>
        <w:rPr>
          <w:rFonts w:hint="eastAsia" w:ascii="宋体" w:hAnsi="宋体" w:eastAsia="宋体" w:cs="宋体"/>
          <w:kern w:val="0"/>
          <w:szCs w:val="21"/>
        </w:rPr>
      </w:pPr>
    </w:p>
    <w:p>
      <w:pPr>
        <w:pStyle w:val="17"/>
        <w:rPr>
          <w:rFonts w:hint="eastAsia"/>
          <w:lang w:val="en-US" w:eastAsia="zh-CN"/>
        </w:rPr>
      </w:pPr>
      <w:r>
        <w:rPr>
          <w:rFonts w:hint="eastAsia" w:ascii="宋体" w:hAnsi="宋体" w:eastAsia="宋体" w:cs="宋体"/>
          <w:kern w:val="0"/>
          <w:szCs w:val="21"/>
        </w:rPr>
        <w:t>报价人法定代表人或其授权的代理人：</w:t>
      </w:r>
      <w:r>
        <w:rPr>
          <w:rFonts w:hint="eastAsia" w:ascii="宋体" w:hAnsi="宋体" w:eastAsia="宋体" w:cs="宋体"/>
          <w:kern w:val="0"/>
          <w:szCs w:val="21"/>
          <w:u w:val="single"/>
        </w:rPr>
        <w:t xml:space="preserve">                （签字）</w:t>
      </w:r>
    </w:p>
    <w:p>
      <w:pPr>
        <w:rPr>
          <w:rFonts w:hint="eastAsia"/>
          <w:lang w:val="en-US" w:eastAsia="zh-CN"/>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tbl>
      <w:tblPr>
        <w:tblStyle w:val="19"/>
        <w:tblW w:w="0" w:type="auto"/>
        <w:jc w:val="center"/>
        <w:tblLayout w:type="fixed"/>
        <w:tblCellMar>
          <w:top w:w="0" w:type="dxa"/>
          <w:left w:w="108" w:type="dxa"/>
          <w:bottom w:w="0" w:type="dxa"/>
          <w:right w:w="108" w:type="dxa"/>
        </w:tblCellMar>
      </w:tblPr>
      <w:tblGrid>
        <w:gridCol w:w="514"/>
        <w:gridCol w:w="835"/>
        <w:gridCol w:w="991"/>
        <w:gridCol w:w="1437"/>
        <w:gridCol w:w="1312"/>
        <w:gridCol w:w="518"/>
        <w:gridCol w:w="999"/>
        <w:gridCol w:w="1101"/>
        <w:gridCol w:w="816"/>
        <w:gridCol w:w="961"/>
        <w:gridCol w:w="1113"/>
        <w:gridCol w:w="1132"/>
        <w:gridCol w:w="1101"/>
        <w:gridCol w:w="1352"/>
      </w:tblGrid>
      <w:tr>
        <w:tblPrEx>
          <w:tblCellMar>
            <w:top w:w="0" w:type="dxa"/>
            <w:left w:w="108" w:type="dxa"/>
            <w:bottom w:w="0" w:type="dxa"/>
            <w:right w:w="108" w:type="dxa"/>
          </w:tblCellMar>
        </w:tblPrEx>
        <w:trPr>
          <w:trHeight w:val="559" w:hRule="atLeast"/>
          <w:jc w:val="center"/>
        </w:trPr>
        <w:tc>
          <w:tcPr>
            <w:tcW w:w="14182" w:type="dxa"/>
            <w:gridSpan w:val="14"/>
            <w:tcBorders>
              <w:top w:val="nil"/>
              <w:left w:val="nil"/>
              <w:bottom w:val="single" w:color="auto" w:sz="4" w:space="0"/>
              <w:right w:val="nil"/>
            </w:tcBorders>
            <w:noWrap w:val="0"/>
            <w:vAlign w:val="center"/>
          </w:tcPr>
          <w:p>
            <w:pPr>
              <w:widowControl/>
              <w:jc w:val="left"/>
              <w:rPr>
                <w:rFonts w:ascii="宋体" w:hAnsi="宋体" w:eastAsia="宋体" w:cs="宋体"/>
                <w:kern w:val="0"/>
                <w:szCs w:val="21"/>
              </w:rPr>
            </w:pPr>
            <w:r>
              <w:rPr>
                <w:rFonts w:hint="eastAsia" w:ascii="仿宋_GB2312" w:hAnsi="宋体" w:eastAsia="仿宋_GB2312" w:cs="宋体"/>
                <w:b/>
                <w:bCs/>
                <w:kern w:val="0"/>
                <w:sz w:val="32"/>
                <w:szCs w:val="32"/>
              </w:rPr>
              <w:t>C．安徽交控工程集团有限公司G0321德上高速祁门至皖赣界段工程WJ-JG合同段</w:t>
            </w:r>
            <w:r>
              <w:rPr>
                <w:rFonts w:hint="eastAsia" w:ascii="仿宋_GB2312" w:hAnsi="宋体" w:eastAsia="仿宋_GB2312" w:cs="宋体"/>
                <w:b/>
                <w:bCs/>
                <w:kern w:val="0"/>
                <w:sz w:val="32"/>
                <w:szCs w:val="32"/>
                <w:lang w:eastAsia="zh-CN"/>
              </w:rPr>
              <w:t>钢材</w:t>
            </w:r>
            <w:r>
              <w:rPr>
                <w:rFonts w:hint="eastAsia" w:ascii="仿宋_GB2312" w:hAnsi="宋体" w:eastAsia="仿宋_GB2312" w:cs="宋体"/>
                <w:b/>
                <w:bCs/>
                <w:kern w:val="0"/>
                <w:sz w:val="32"/>
                <w:szCs w:val="32"/>
              </w:rPr>
              <w:t>采购询价单价分析表</w:t>
            </w:r>
          </w:p>
        </w:tc>
      </w:tr>
      <w:tr>
        <w:tblPrEx>
          <w:tblCellMar>
            <w:top w:w="0" w:type="dxa"/>
            <w:left w:w="108" w:type="dxa"/>
            <w:bottom w:w="0" w:type="dxa"/>
            <w:right w:w="108" w:type="dxa"/>
          </w:tblCellMar>
        </w:tblPrEx>
        <w:trPr>
          <w:trHeight w:val="784" w:hRule="atLeast"/>
          <w:jc w:val="center"/>
        </w:trPr>
        <w:tc>
          <w:tcPr>
            <w:tcW w:w="514" w:type="dxa"/>
            <w:vMerge w:val="restart"/>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835"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材料品种</w:t>
            </w:r>
          </w:p>
        </w:tc>
        <w:tc>
          <w:tcPr>
            <w:tcW w:w="991"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制造商及产地</w:t>
            </w:r>
          </w:p>
        </w:tc>
        <w:tc>
          <w:tcPr>
            <w:tcW w:w="1437"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1312"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运至地点</w:t>
            </w:r>
          </w:p>
        </w:tc>
        <w:tc>
          <w:tcPr>
            <w:tcW w:w="518" w:type="dxa"/>
            <w:vMerge w:val="restart"/>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99"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101"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出厂价（元/吨）</w:t>
            </w:r>
          </w:p>
        </w:tc>
        <w:tc>
          <w:tcPr>
            <w:tcW w:w="816"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运输方式</w:t>
            </w:r>
          </w:p>
        </w:tc>
        <w:tc>
          <w:tcPr>
            <w:tcW w:w="961"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平均运距（km）</w:t>
            </w:r>
          </w:p>
        </w:tc>
        <w:tc>
          <w:tcPr>
            <w:tcW w:w="1113"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运杂费平均单价（元/t·km）</w:t>
            </w:r>
          </w:p>
        </w:tc>
        <w:tc>
          <w:tcPr>
            <w:tcW w:w="1132"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运杂费（元/吨）</w:t>
            </w:r>
          </w:p>
        </w:tc>
        <w:tc>
          <w:tcPr>
            <w:tcW w:w="1101"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综合单价（元/吨）</w:t>
            </w:r>
          </w:p>
        </w:tc>
        <w:tc>
          <w:tcPr>
            <w:tcW w:w="1352"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合价(元)</w:t>
            </w:r>
          </w:p>
        </w:tc>
      </w:tr>
      <w:tr>
        <w:tblPrEx>
          <w:tblCellMar>
            <w:top w:w="0" w:type="dxa"/>
            <w:left w:w="108" w:type="dxa"/>
            <w:bottom w:w="0" w:type="dxa"/>
            <w:right w:w="108" w:type="dxa"/>
          </w:tblCellMar>
        </w:tblPrEx>
        <w:trPr>
          <w:trHeight w:val="559" w:hRule="atLeast"/>
          <w:jc w:val="center"/>
        </w:trPr>
        <w:tc>
          <w:tcPr>
            <w:tcW w:w="514"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83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99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14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131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51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宋体"/>
                <w:kern w:val="0"/>
                <w:szCs w:val="21"/>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①</w:t>
            </w:r>
          </w:p>
        </w:tc>
        <w:tc>
          <w:tcPr>
            <w:tcW w:w="110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②</w:t>
            </w:r>
          </w:p>
        </w:tc>
        <w:tc>
          <w:tcPr>
            <w:tcW w:w="81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③</w:t>
            </w:r>
          </w:p>
        </w:tc>
        <w:tc>
          <w:tcPr>
            <w:tcW w:w="96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④</w:t>
            </w:r>
          </w:p>
        </w:tc>
        <w:tc>
          <w:tcPr>
            <w:tcW w:w="1113"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⑤</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⑥=④×⑤</w:t>
            </w:r>
          </w:p>
        </w:tc>
        <w:tc>
          <w:tcPr>
            <w:tcW w:w="110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⑦=②+⑥</w:t>
            </w:r>
          </w:p>
        </w:tc>
        <w:tc>
          <w:tcPr>
            <w:tcW w:w="1352"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⑧=①×⑦</w:t>
            </w:r>
          </w:p>
        </w:tc>
      </w:tr>
      <w:tr>
        <w:tblPrEx>
          <w:tblCellMar>
            <w:top w:w="0" w:type="dxa"/>
            <w:left w:w="108" w:type="dxa"/>
            <w:bottom w:w="0" w:type="dxa"/>
            <w:right w:w="108" w:type="dxa"/>
          </w:tblCellMar>
        </w:tblPrEx>
        <w:trPr>
          <w:trHeight w:val="559" w:hRule="atLeast"/>
          <w:jc w:val="center"/>
        </w:trPr>
        <w:tc>
          <w:tcPr>
            <w:tcW w:w="514"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35" w:type="dxa"/>
            <w:vMerge w:val="restart"/>
            <w:tcBorders>
              <w:top w:val="single" w:color="auto" w:sz="6" w:space="0"/>
              <w:left w:val="single" w:color="auto" w:sz="6" w:space="0"/>
              <w:right w:val="single" w:color="auto" w:sz="6"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钢材</w:t>
            </w:r>
          </w:p>
        </w:tc>
        <w:tc>
          <w:tcPr>
            <w:tcW w:w="991" w:type="dxa"/>
            <w:vMerge w:val="restart"/>
            <w:tcBorders>
              <w:top w:val="single" w:color="auto" w:sz="6" w:space="0"/>
              <w:left w:val="single" w:color="auto" w:sz="6" w:space="0"/>
              <w:right w:val="single" w:color="auto" w:sz="6" w:space="0"/>
            </w:tcBorders>
            <w:noWrap w:val="0"/>
            <w:vAlign w:val="center"/>
          </w:tcPr>
          <w:p>
            <w:pPr>
              <w:jc w:val="center"/>
              <w:rPr>
                <w:rFonts w:ascii="宋体" w:hAnsi="宋体" w:eastAsia="宋体" w:cs="宋体"/>
                <w:kern w:val="0"/>
                <w:szCs w:val="21"/>
              </w:rPr>
            </w:pPr>
            <w:r>
              <w:rPr>
                <w:rFonts w:hint="eastAsia" w:ascii="宋体" w:hAnsi="宋体" w:eastAsia="宋体" w:cs="宋体"/>
                <w:kern w:val="0"/>
                <w:szCs w:val="21"/>
              </w:rPr>
              <w:t>　</w:t>
            </w:r>
          </w:p>
        </w:tc>
        <w:tc>
          <w:tcPr>
            <w:tcW w:w="143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pacing w:val="-1"/>
                <w:szCs w:val="21"/>
              </w:rPr>
              <w:t>光圆</w:t>
            </w:r>
            <w:r>
              <w:rPr>
                <w:rFonts w:hint="eastAsia" w:ascii="宋体" w:hAnsi="宋体" w:eastAsia="宋体" w:cs="宋体"/>
                <w:spacing w:val="-1"/>
                <w:szCs w:val="21"/>
                <w:lang w:eastAsia="zh-CN"/>
              </w:rPr>
              <w:t>钢材</w:t>
            </w:r>
          </w:p>
        </w:tc>
        <w:tc>
          <w:tcPr>
            <w:tcW w:w="1312" w:type="dxa"/>
            <w:vMerge w:val="restart"/>
            <w:tcBorders>
              <w:top w:val="single" w:color="auto" w:sz="6" w:space="0"/>
              <w:left w:val="single" w:color="auto" w:sz="6" w:space="0"/>
              <w:right w:val="single" w:color="auto" w:sz="6" w:space="0"/>
            </w:tcBorders>
            <w:noWrap w:val="0"/>
            <w:vAlign w:val="center"/>
          </w:tcPr>
          <w:p>
            <w:pPr>
              <w:jc w:val="center"/>
              <w:rPr>
                <w:rFonts w:ascii="宋体" w:hAnsi="宋体" w:eastAsia="宋体" w:cs="宋体"/>
                <w:kern w:val="0"/>
                <w:szCs w:val="21"/>
              </w:rPr>
            </w:pPr>
          </w:p>
        </w:tc>
        <w:tc>
          <w:tcPr>
            <w:tcW w:w="518"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吨</w:t>
            </w:r>
          </w:p>
        </w:tc>
        <w:tc>
          <w:tcPr>
            <w:tcW w:w="99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sz w:val="20"/>
                <w:szCs w:val="20"/>
              </w:rPr>
            </w:pPr>
            <w:r>
              <w:rPr>
                <w:rFonts w:ascii="宋体" w:hAnsi="宋体" w:eastAsia="宋体" w:cs="宋体"/>
                <w:spacing w:val="-1"/>
                <w:szCs w:val="21"/>
              </w:rPr>
              <w:t>5500</w:t>
            </w:r>
          </w:p>
        </w:tc>
        <w:tc>
          <w:tcPr>
            <w:tcW w:w="11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352"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59" w:hRule="atLeast"/>
          <w:jc w:val="center"/>
        </w:trPr>
        <w:tc>
          <w:tcPr>
            <w:tcW w:w="514"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35" w:type="dxa"/>
            <w:vMerge w:val="continue"/>
            <w:tcBorders>
              <w:left w:val="single" w:color="auto" w:sz="6" w:space="0"/>
              <w:right w:val="single" w:color="auto" w:sz="6" w:space="0"/>
            </w:tcBorders>
            <w:noWrap w:val="0"/>
            <w:vAlign w:val="center"/>
          </w:tcPr>
          <w:p>
            <w:pPr>
              <w:widowControl/>
              <w:jc w:val="center"/>
              <w:rPr>
                <w:rFonts w:ascii="宋体" w:hAnsi="宋体" w:eastAsia="宋体" w:cs="宋体"/>
                <w:kern w:val="0"/>
                <w:szCs w:val="21"/>
              </w:rPr>
            </w:pPr>
          </w:p>
        </w:tc>
        <w:tc>
          <w:tcPr>
            <w:tcW w:w="991" w:type="dxa"/>
            <w:vMerge w:val="continue"/>
            <w:tcBorders>
              <w:left w:val="single" w:color="auto" w:sz="6" w:space="0"/>
              <w:right w:val="single" w:color="auto" w:sz="6" w:space="0"/>
            </w:tcBorders>
            <w:noWrap w:val="0"/>
            <w:vAlign w:val="center"/>
          </w:tcPr>
          <w:p>
            <w:pPr>
              <w:widowControl/>
              <w:jc w:val="center"/>
              <w:rPr>
                <w:rFonts w:ascii="宋体" w:hAnsi="宋体" w:eastAsia="宋体" w:cs="宋体"/>
                <w:kern w:val="0"/>
                <w:szCs w:val="21"/>
              </w:rPr>
            </w:pPr>
          </w:p>
        </w:tc>
        <w:tc>
          <w:tcPr>
            <w:tcW w:w="143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sz w:val="20"/>
                <w:szCs w:val="20"/>
                <w:lang w:eastAsia="zh-CN"/>
              </w:rPr>
            </w:pPr>
            <w:r>
              <w:rPr>
                <w:rFonts w:hint="eastAsia" w:ascii="宋体" w:hAnsi="宋体" w:eastAsia="宋体" w:cs="宋体"/>
                <w:spacing w:val="-1"/>
                <w:szCs w:val="21"/>
              </w:rPr>
              <w:t>带肋</w:t>
            </w:r>
            <w:r>
              <w:rPr>
                <w:rFonts w:hint="eastAsia" w:ascii="宋体" w:hAnsi="宋体" w:eastAsia="宋体" w:cs="宋体"/>
                <w:spacing w:val="-1"/>
                <w:szCs w:val="21"/>
                <w:lang w:eastAsia="zh-CN"/>
              </w:rPr>
              <w:t>钢材</w:t>
            </w:r>
          </w:p>
        </w:tc>
        <w:tc>
          <w:tcPr>
            <w:tcW w:w="1312" w:type="dxa"/>
            <w:vMerge w:val="continue"/>
            <w:tcBorders>
              <w:left w:val="single" w:color="auto" w:sz="6" w:space="0"/>
              <w:right w:val="single" w:color="auto" w:sz="6" w:space="0"/>
            </w:tcBorders>
            <w:noWrap w:val="0"/>
            <w:vAlign w:val="center"/>
          </w:tcPr>
          <w:p>
            <w:pPr>
              <w:jc w:val="center"/>
              <w:rPr>
                <w:rFonts w:ascii="宋体" w:hAnsi="宋体" w:eastAsia="宋体" w:cs="宋体"/>
                <w:kern w:val="0"/>
                <w:szCs w:val="21"/>
              </w:rPr>
            </w:pPr>
          </w:p>
        </w:tc>
        <w:tc>
          <w:tcPr>
            <w:tcW w:w="518"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吨</w:t>
            </w:r>
          </w:p>
        </w:tc>
        <w:tc>
          <w:tcPr>
            <w:tcW w:w="99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eastAsia="宋体" w:cs="宋体"/>
                <w:sz w:val="20"/>
                <w:szCs w:val="20"/>
              </w:rPr>
            </w:pPr>
            <w:r>
              <w:rPr>
                <w:rFonts w:ascii="宋体" w:hAnsi="宋体" w:eastAsia="宋体" w:cs="宋体"/>
                <w:color w:val="000000"/>
                <w:kern w:val="0"/>
                <w:szCs w:val="21"/>
                <w:lang w:bidi="ar"/>
              </w:rPr>
              <w:t>47500</w:t>
            </w:r>
          </w:p>
        </w:tc>
        <w:tc>
          <w:tcPr>
            <w:tcW w:w="11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10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kern w:val="0"/>
                <w:szCs w:val="21"/>
              </w:rPr>
            </w:pPr>
          </w:p>
        </w:tc>
        <w:tc>
          <w:tcPr>
            <w:tcW w:w="1352"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59"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57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9093"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人民币（大写）</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tc>
      </w:tr>
    </w:tbl>
    <w:p>
      <w:pPr>
        <w:spacing w:line="360" w:lineRule="auto"/>
        <w:ind w:firstLine="210" w:firstLineChars="100"/>
        <w:rPr>
          <w:rFonts w:hint="eastAsia" w:ascii="宋体" w:hAnsi="宋体" w:eastAsia="宋体" w:cs="宋体"/>
          <w:kern w:val="0"/>
          <w:szCs w:val="21"/>
        </w:rPr>
      </w:pPr>
    </w:p>
    <w:p>
      <w:pPr>
        <w:spacing w:line="360" w:lineRule="auto"/>
        <w:ind w:firstLine="210" w:firstLineChars="100"/>
        <w:rPr>
          <w:rFonts w:hint="eastAsia" w:ascii="宋体" w:hAnsi="宋体" w:eastAsia="宋体" w:cs="宋体"/>
          <w:kern w:val="0"/>
          <w:szCs w:val="21"/>
          <w:u w:val="single"/>
        </w:rPr>
      </w:pPr>
      <w:r>
        <w:rPr>
          <w:rFonts w:hint="eastAsia" w:ascii="宋体" w:hAnsi="宋体" w:eastAsia="宋体" w:cs="宋体"/>
          <w:kern w:val="0"/>
          <w:szCs w:val="21"/>
        </w:rPr>
        <w:t>报价人：</w:t>
      </w:r>
      <w:r>
        <w:rPr>
          <w:rFonts w:hint="eastAsia" w:ascii="宋体" w:hAnsi="宋体" w:eastAsia="宋体" w:cs="宋体"/>
          <w:kern w:val="0"/>
          <w:szCs w:val="21"/>
          <w:u w:val="single"/>
        </w:rPr>
        <w:t xml:space="preserve">                （盖章）</w:t>
      </w:r>
    </w:p>
    <w:p>
      <w:pPr>
        <w:rPr>
          <w:rFonts w:hint="eastAsia" w:ascii="宋体" w:hAnsi="宋体" w:eastAsia="宋体" w:cs="宋体"/>
          <w:kern w:val="0"/>
          <w:szCs w:val="21"/>
        </w:rPr>
      </w:pPr>
    </w:p>
    <w:p>
      <w:pPr>
        <w:ind w:firstLine="210" w:firstLineChars="100"/>
        <w:rPr>
          <w:rFonts w:hint="eastAsia" w:ascii="宋体" w:hAnsi="宋体" w:eastAsia="宋体" w:cs="宋体"/>
          <w:kern w:val="0"/>
          <w:szCs w:val="21"/>
          <w:u w:val="single"/>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宋体"/>
          <w:kern w:val="0"/>
          <w:szCs w:val="21"/>
        </w:rPr>
        <w:t>报价人法定代表人或其授权的代理人：</w:t>
      </w:r>
      <w:r>
        <w:rPr>
          <w:rFonts w:hint="eastAsia" w:ascii="宋体" w:hAnsi="宋体" w:eastAsia="宋体" w:cs="宋体"/>
          <w:kern w:val="0"/>
          <w:szCs w:val="21"/>
          <w:u w:val="single"/>
        </w:rPr>
        <w:t xml:space="preserve">                （签字）</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6" o:spt="136" type="#_x0000_t136" style="position:absolute;left:0pt;height:62.3pt;width:524.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B397078"/>
    <w:multiLevelType w:val="multilevel"/>
    <w:tmpl w:val="2B397078"/>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4">
    <w:nsid w:val="61C7D68E"/>
    <w:multiLevelType w:val="singleLevel"/>
    <w:tmpl w:val="61C7D68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8D5673"/>
    <w:rsid w:val="02D346A3"/>
    <w:rsid w:val="038863C7"/>
    <w:rsid w:val="03A9557F"/>
    <w:rsid w:val="04701D1E"/>
    <w:rsid w:val="04E034BC"/>
    <w:rsid w:val="05F94BA8"/>
    <w:rsid w:val="06341F34"/>
    <w:rsid w:val="06670E60"/>
    <w:rsid w:val="068727A0"/>
    <w:rsid w:val="07063EDC"/>
    <w:rsid w:val="073835B2"/>
    <w:rsid w:val="076958CF"/>
    <w:rsid w:val="09210464"/>
    <w:rsid w:val="097A155A"/>
    <w:rsid w:val="0A2E7496"/>
    <w:rsid w:val="0A466107"/>
    <w:rsid w:val="0A941F2B"/>
    <w:rsid w:val="0AAD73BC"/>
    <w:rsid w:val="0BA10DDD"/>
    <w:rsid w:val="0BDD422F"/>
    <w:rsid w:val="0C425774"/>
    <w:rsid w:val="0DBD0BDC"/>
    <w:rsid w:val="0DE02F17"/>
    <w:rsid w:val="0EBA46A3"/>
    <w:rsid w:val="0EBB2DAD"/>
    <w:rsid w:val="0F531ACB"/>
    <w:rsid w:val="0F6F4854"/>
    <w:rsid w:val="0F9F0794"/>
    <w:rsid w:val="0FBE1FCA"/>
    <w:rsid w:val="103E486A"/>
    <w:rsid w:val="106D5B52"/>
    <w:rsid w:val="1090350E"/>
    <w:rsid w:val="10944070"/>
    <w:rsid w:val="10A6372F"/>
    <w:rsid w:val="10DA535D"/>
    <w:rsid w:val="10F91F06"/>
    <w:rsid w:val="110D2AFF"/>
    <w:rsid w:val="11DF30C9"/>
    <w:rsid w:val="11F117DD"/>
    <w:rsid w:val="129325F3"/>
    <w:rsid w:val="12FA3B2F"/>
    <w:rsid w:val="13431F92"/>
    <w:rsid w:val="13E11194"/>
    <w:rsid w:val="144A391D"/>
    <w:rsid w:val="149434CF"/>
    <w:rsid w:val="150E5893"/>
    <w:rsid w:val="15133F2C"/>
    <w:rsid w:val="15C3657D"/>
    <w:rsid w:val="163D1F3A"/>
    <w:rsid w:val="16414AC9"/>
    <w:rsid w:val="188C4113"/>
    <w:rsid w:val="191A46EE"/>
    <w:rsid w:val="19647370"/>
    <w:rsid w:val="19DE1C05"/>
    <w:rsid w:val="1A185E2C"/>
    <w:rsid w:val="1A3C6E09"/>
    <w:rsid w:val="1A657CD8"/>
    <w:rsid w:val="1AA97D25"/>
    <w:rsid w:val="1B87260E"/>
    <w:rsid w:val="1C0C5403"/>
    <w:rsid w:val="1C376CC2"/>
    <w:rsid w:val="1C511068"/>
    <w:rsid w:val="1CB03FE0"/>
    <w:rsid w:val="1CD07137"/>
    <w:rsid w:val="1CF12CD2"/>
    <w:rsid w:val="1D3772E3"/>
    <w:rsid w:val="1D3F5364"/>
    <w:rsid w:val="1D9C6C71"/>
    <w:rsid w:val="1DD02C25"/>
    <w:rsid w:val="1E7E7378"/>
    <w:rsid w:val="1F8615BF"/>
    <w:rsid w:val="1F93095F"/>
    <w:rsid w:val="1FB449F5"/>
    <w:rsid w:val="1FC01B05"/>
    <w:rsid w:val="20220D88"/>
    <w:rsid w:val="202D724A"/>
    <w:rsid w:val="20432E03"/>
    <w:rsid w:val="20CE712B"/>
    <w:rsid w:val="20E701EC"/>
    <w:rsid w:val="2211172D"/>
    <w:rsid w:val="22456F98"/>
    <w:rsid w:val="22A243CB"/>
    <w:rsid w:val="23610B8C"/>
    <w:rsid w:val="241D716E"/>
    <w:rsid w:val="25CC7C14"/>
    <w:rsid w:val="2613091A"/>
    <w:rsid w:val="265909F3"/>
    <w:rsid w:val="26E81DCB"/>
    <w:rsid w:val="27621A0B"/>
    <w:rsid w:val="279E7B84"/>
    <w:rsid w:val="27B103DE"/>
    <w:rsid w:val="285445B2"/>
    <w:rsid w:val="28D24D9C"/>
    <w:rsid w:val="28FE7045"/>
    <w:rsid w:val="2941798C"/>
    <w:rsid w:val="294C5129"/>
    <w:rsid w:val="295C70D0"/>
    <w:rsid w:val="2A8F70B0"/>
    <w:rsid w:val="2AE43776"/>
    <w:rsid w:val="2B1D5459"/>
    <w:rsid w:val="2D141CF6"/>
    <w:rsid w:val="2D984126"/>
    <w:rsid w:val="2E0A4375"/>
    <w:rsid w:val="2E6740D2"/>
    <w:rsid w:val="2ED8288A"/>
    <w:rsid w:val="2FBF144F"/>
    <w:rsid w:val="300246FB"/>
    <w:rsid w:val="304C62DA"/>
    <w:rsid w:val="30793AE8"/>
    <w:rsid w:val="30C628C5"/>
    <w:rsid w:val="319B3695"/>
    <w:rsid w:val="32332253"/>
    <w:rsid w:val="324271A8"/>
    <w:rsid w:val="32B15339"/>
    <w:rsid w:val="333F226C"/>
    <w:rsid w:val="33C26030"/>
    <w:rsid w:val="35201A23"/>
    <w:rsid w:val="35843E04"/>
    <w:rsid w:val="35B540D6"/>
    <w:rsid w:val="361938E0"/>
    <w:rsid w:val="36C144C3"/>
    <w:rsid w:val="385D4294"/>
    <w:rsid w:val="388C7CC2"/>
    <w:rsid w:val="38B92676"/>
    <w:rsid w:val="39B20761"/>
    <w:rsid w:val="39F257E0"/>
    <w:rsid w:val="3A1F1997"/>
    <w:rsid w:val="3B096510"/>
    <w:rsid w:val="3B414529"/>
    <w:rsid w:val="3B47240E"/>
    <w:rsid w:val="3B7C2F21"/>
    <w:rsid w:val="3B8A41D3"/>
    <w:rsid w:val="3BC00DC4"/>
    <w:rsid w:val="3C651D50"/>
    <w:rsid w:val="3CF7310E"/>
    <w:rsid w:val="3E103B9E"/>
    <w:rsid w:val="3E2829E9"/>
    <w:rsid w:val="3E5113D8"/>
    <w:rsid w:val="3FB452E6"/>
    <w:rsid w:val="3FF744E4"/>
    <w:rsid w:val="403D54CD"/>
    <w:rsid w:val="408028ED"/>
    <w:rsid w:val="41212AAF"/>
    <w:rsid w:val="4178455B"/>
    <w:rsid w:val="41B873F1"/>
    <w:rsid w:val="41BB6E00"/>
    <w:rsid w:val="41CF3C5E"/>
    <w:rsid w:val="41FB71FC"/>
    <w:rsid w:val="426A68F1"/>
    <w:rsid w:val="426B29F2"/>
    <w:rsid w:val="42754E3B"/>
    <w:rsid w:val="42ED38B0"/>
    <w:rsid w:val="442716E3"/>
    <w:rsid w:val="44623B29"/>
    <w:rsid w:val="44CB7E92"/>
    <w:rsid w:val="44D53D34"/>
    <w:rsid w:val="4551727C"/>
    <w:rsid w:val="45E82159"/>
    <w:rsid w:val="460C19D8"/>
    <w:rsid w:val="46767799"/>
    <w:rsid w:val="475036EC"/>
    <w:rsid w:val="476304E5"/>
    <w:rsid w:val="48407E8B"/>
    <w:rsid w:val="48491BF4"/>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5CE5FAF"/>
    <w:rsid w:val="568D4A8B"/>
    <w:rsid w:val="5787376C"/>
    <w:rsid w:val="57B82B72"/>
    <w:rsid w:val="57D0049C"/>
    <w:rsid w:val="58340631"/>
    <w:rsid w:val="584307E1"/>
    <w:rsid w:val="588621CE"/>
    <w:rsid w:val="588927B2"/>
    <w:rsid w:val="58AC03AC"/>
    <w:rsid w:val="58B3037A"/>
    <w:rsid w:val="598F3C15"/>
    <w:rsid w:val="5A1256BA"/>
    <w:rsid w:val="5AB51CCA"/>
    <w:rsid w:val="5AB57322"/>
    <w:rsid w:val="5AB86B82"/>
    <w:rsid w:val="5BC0596D"/>
    <w:rsid w:val="5BE5635E"/>
    <w:rsid w:val="5C03587B"/>
    <w:rsid w:val="5C4805D9"/>
    <w:rsid w:val="5DA53F1B"/>
    <w:rsid w:val="5DC63FF9"/>
    <w:rsid w:val="5F911F6A"/>
    <w:rsid w:val="5FC627A0"/>
    <w:rsid w:val="5FD076A0"/>
    <w:rsid w:val="60CC0666"/>
    <w:rsid w:val="61393910"/>
    <w:rsid w:val="61DA4AD9"/>
    <w:rsid w:val="629D4803"/>
    <w:rsid w:val="62AE498D"/>
    <w:rsid w:val="63D57455"/>
    <w:rsid w:val="63FF44D2"/>
    <w:rsid w:val="64AB0CD1"/>
    <w:rsid w:val="64D84E1A"/>
    <w:rsid w:val="65675ED4"/>
    <w:rsid w:val="6683497C"/>
    <w:rsid w:val="676E5CC7"/>
    <w:rsid w:val="67E14BAB"/>
    <w:rsid w:val="67EE0AE5"/>
    <w:rsid w:val="67F71E56"/>
    <w:rsid w:val="684C44B3"/>
    <w:rsid w:val="68880F3A"/>
    <w:rsid w:val="690F1726"/>
    <w:rsid w:val="6A2D5CB0"/>
    <w:rsid w:val="6BB90159"/>
    <w:rsid w:val="6C111246"/>
    <w:rsid w:val="6C124248"/>
    <w:rsid w:val="6C6B059F"/>
    <w:rsid w:val="6CA00B62"/>
    <w:rsid w:val="6CFE27E3"/>
    <w:rsid w:val="6D274D94"/>
    <w:rsid w:val="6D955447"/>
    <w:rsid w:val="6DD01AB0"/>
    <w:rsid w:val="6DEB139F"/>
    <w:rsid w:val="6E8B3FD1"/>
    <w:rsid w:val="6E9D5013"/>
    <w:rsid w:val="6F4D02A4"/>
    <w:rsid w:val="6FDB7D0C"/>
    <w:rsid w:val="706B3710"/>
    <w:rsid w:val="706B4417"/>
    <w:rsid w:val="70784F6A"/>
    <w:rsid w:val="70B2470E"/>
    <w:rsid w:val="71817101"/>
    <w:rsid w:val="71943263"/>
    <w:rsid w:val="71B80224"/>
    <w:rsid w:val="720B21A0"/>
    <w:rsid w:val="72775B5D"/>
    <w:rsid w:val="72E163D5"/>
    <w:rsid w:val="730651BF"/>
    <w:rsid w:val="751540E3"/>
    <w:rsid w:val="757762DF"/>
    <w:rsid w:val="76085468"/>
    <w:rsid w:val="764861AD"/>
    <w:rsid w:val="765A1D4D"/>
    <w:rsid w:val="772B58B2"/>
    <w:rsid w:val="77822AD2"/>
    <w:rsid w:val="7846297D"/>
    <w:rsid w:val="791E0B39"/>
    <w:rsid w:val="79487052"/>
    <w:rsid w:val="79517C28"/>
    <w:rsid w:val="79E06FD9"/>
    <w:rsid w:val="7A2B3BCE"/>
    <w:rsid w:val="7AC3206E"/>
    <w:rsid w:val="7AFF6ACD"/>
    <w:rsid w:val="7B436E21"/>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Indent"/>
    <w:basedOn w:val="1"/>
    <w:next w:val="8"/>
    <w:link w:val="36"/>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link w:val="3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unhideWhenUsed/>
    <w:qFormat/>
    <w:uiPriority w:val="99"/>
    <w:pPr>
      <w:ind w:left="864" w:right="864"/>
      <w:jc w:val="center"/>
    </w:pPr>
    <w:rPr>
      <w:rFonts w:ascii="Times New Roman" w:hAnsi="Times New Roman"/>
      <w:i/>
      <w:iCs/>
      <w:color w:val="404040"/>
      <w:szCs w:val="21"/>
    </w:rPr>
  </w:style>
  <w:style w:type="paragraph" w:styleId="13">
    <w:name w:val="toc 1"/>
    <w:basedOn w:val="1"/>
    <w:next w:val="1"/>
    <w:qFormat/>
    <w:uiPriority w:val="0"/>
  </w:style>
  <w:style w:type="paragraph" w:styleId="14">
    <w:name w:val="footnote text"/>
    <w:basedOn w:val="1"/>
    <w:unhideWhenUsed/>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tabs>
        <w:tab w:val="left" w:pos="450"/>
      </w:tabs>
      <w:ind w:left="450" w:hanging="450"/>
      <w:jc w:val="center"/>
    </w:pPr>
    <w:rPr>
      <w:rFonts w:ascii="黑体" w:eastAsia="黑体"/>
      <w:sz w:val="32"/>
      <w:szCs w:val="20"/>
    </w:rPr>
  </w:style>
  <w:style w:type="paragraph" w:styleId="17">
    <w:name w:val="Body Text First Indent"/>
    <w:basedOn w:val="6"/>
    <w:qFormat/>
    <w:uiPriority w:val="99"/>
    <w:pPr>
      <w:ind w:firstLine="420" w:firstLineChars="100"/>
    </w:pPr>
  </w:style>
  <w:style w:type="paragraph" w:styleId="18">
    <w:name w:val="Body Text First Indent 2"/>
    <w:basedOn w:val="7"/>
    <w:next w:val="1"/>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unhideWhenUsed/>
    <w:qFormat/>
    <w:uiPriority w:val="99"/>
    <w:rPr>
      <w:rFonts w:ascii="Times New Roman" w:hAnsi="Times New Roman" w:eastAsia="宋体" w:cs="Times New Roman"/>
      <w:color w:val="0000FF"/>
      <w:kern w:val="2"/>
      <w:sz w:val="21"/>
      <w:szCs w:val="24"/>
      <w:u w:val="single"/>
      <w:lang w:eastAsia="zh-CN"/>
    </w:rPr>
  </w:style>
  <w:style w:type="character" w:styleId="28">
    <w:name w:val="HTML Cite"/>
    <w:basedOn w:val="21"/>
    <w:qFormat/>
    <w:uiPriority w:val="0"/>
  </w:style>
  <w:style w:type="character" w:styleId="29">
    <w:name w:val="footnote reference"/>
    <w:unhideWhenUsed/>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font61"/>
    <w:basedOn w:val="21"/>
    <w:qFormat/>
    <w:uiPriority w:val="0"/>
    <w:rPr>
      <w:rFonts w:hint="eastAsia" w:ascii="宋体" w:hAnsi="宋体" w:eastAsia="宋体" w:cs="宋体"/>
      <w:color w:val="000000"/>
      <w:sz w:val="20"/>
      <w:szCs w:val="20"/>
      <w:u w:val="none"/>
    </w:rPr>
  </w:style>
  <w:style w:type="character" w:customStyle="1" w:styleId="33">
    <w:name w:val="font141"/>
    <w:basedOn w:val="21"/>
    <w:qFormat/>
    <w:uiPriority w:val="0"/>
    <w:rPr>
      <w:rFonts w:hint="eastAsia" w:ascii="宋体" w:hAnsi="宋体" w:eastAsia="宋体" w:cs="宋体"/>
      <w:color w:val="000000"/>
      <w:sz w:val="24"/>
      <w:szCs w:val="24"/>
      <w:u w:val="none"/>
      <w:vertAlign w:val="superscript"/>
    </w:rPr>
  </w:style>
  <w:style w:type="paragraph" w:customStyle="1" w:styleId="3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5">
    <w:name w:val="List Paragraph"/>
    <w:basedOn w:val="1"/>
    <w:qFormat/>
    <w:uiPriority w:val="1"/>
    <w:pPr>
      <w:ind w:left="235" w:hanging="527"/>
    </w:pPr>
    <w:rPr>
      <w:rFonts w:ascii="宋体" w:hAnsi="宋体" w:eastAsia="宋体" w:cs="宋体"/>
      <w:lang w:val="zh-CN" w:eastAsia="zh-CN" w:bidi="zh-CN"/>
    </w:rPr>
  </w:style>
  <w:style w:type="character" w:customStyle="1" w:styleId="36">
    <w:name w:val="正文文本缩进 Char"/>
    <w:link w:val="7"/>
    <w:qFormat/>
    <w:uiPriority w:val="0"/>
  </w:style>
  <w:style w:type="character" w:customStyle="1" w:styleId="37">
    <w:name w:val="纯文本 Char"/>
    <w:link w:val="9"/>
    <w:qFormat/>
    <w:uiPriority w:val="0"/>
    <w:rPr>
      <w:rFonts w:ascii="宋体" w:hAnsi="Courier New"/>
      <w:szCs w:val="20"/>
    </w:rPr>
  </w:style>
  <w:style w:type="paragraph" w:customStyle="1" w:styleId="38">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9">
    <w:name w:val="Table Paragraph"/>
    <w:basedOn w:val="1"/>
    <w:qFormat/>
    <w:uiPriority w:val="1"/>
    <w:rPr>
      <w:rFonts w:ascii="宋体" w:hAnsi="宋体" w:eastAsia="宋体" w:cs="宋体"/>
    </w:rPr>
  </w:style>
  <w:style w:type="table" w:customStyle="1" w:styleId="4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2">
    <w:name w:val="font11"/>
    <w:basedOn w:val="21"/>
    <w:qFormat/>
    <w:uiPriority w:val="0"/>
    <w:rPr>
      <w:rFonts w:hint="eastAsia" w:ascii="宋体" w:hAnsi="宋体" w:eastAsia="宋体" w:cs="宋体"/>
      <w:color w:val="000000"/>
      <w:sz w:val="18"/>
      <w:szCs w:val="18"/>
      <w:u w:val="none"/>
    </w:rPr>
  </w:style>
  <w:style w:type="character" w:customStyle="1" w:styleId="43">
    <w:name w:val="font21"/>
    <w:basedOn w:val="21"/>
    <w:qFormat/>
    <w:uiPriority w:val="0"/>
    <w:rPr>
      <w:rFonts w:hint="default" w:ascii="Times New Roman" w:hAnsi="Times New Roman" w:cs="Times New Roman"/>
      <w:color w:val="000000"/>
      <w:sz w:val="18"/>
      <w:szCs w:val="18"/>
      <w:u w:val="none"/>
    </w:rPr>
  </w:style>
  <w:style w:type="character" w:customStyle="1" w:styleId="44">
    <w:name w:val="font31"/>
    <w:basedOn w:val="21"/>
    <w:qFormat/>
    <w:uiPriority w:val="0"/>
    <w:rPr>
      <w:rFonts w:hint="eastAsia" w:ascii="宋体" w:hAnsi="宋体" w:eastAsia="宋体" w:cs="宋体"/>
      <w:color w:val="000000"/>
      <w:sz w:val="21"/>
      <w:szCs w:val="21"/>
      <w:u w:val="none"/>
    </w:rPr>
  </w:style>
  <w:style w:type="character" w:customStyle="1" w:styleId="45">
    <w:name w:val="font4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1</TotalTime>
  <ScaleCrop>false</ScaleCrop>
  <LinksUpToDate>false</LinksUpToDate>
  <CharactersWithSpaces>28010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2023-11-03T03:05:00Z</cp:lastPrinted>
  <dcterms:modified xsi:type="dcterms:W3CDTF">2023-11-11T02:24:02Z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B7C97CFF731847ECB8625833AA6839D5_13</vt:lpwstr>
  </property>
</Properties>
</file>