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heme="minorEastAsia" w:hAnsiTheme="minorEastAsia" w:eastAsiaTheme="minorEastAsia" w:cstheme="minorEastAsia"/>
          <w:b/>
          <w:bCs/>
          <w:sz w:val="48"/>
          <w:szCs w:val="48"/>
          <w:highlight w:val="none"/>
          <w:lang w:val="en-US"/>
        </w:rPr>
      </w:pPr>
      <w:r>
        <w:rPr>
          <w:rFonts w:hint="eastAsia" w:asciiTheme="minorEastAsia" w:hAnsiTheme="minorEastAsia" w:cstheme="minorEastAsia"/>
          <w:b/>
          <w:bCs/>
          <w:color w:val="00000A"/>
          <w:spacing w:val="-11"/>
          <w:w w:val="100"/>
          <w:kern w:val="0"/>
          <w:sz w:val="48"/>
          <w:szCs w:val="48"/>
          <w:highlight w:val="none"/>
          <w:lang w:val="en-US" w:eastAsia="zh-CN" w:bidi="hi-IN"/>
        </w:rPr>
        <w:t>安徽交控集团2023年度服务区综合改造提升工程（EPC）项目卫生间隔断采购项目</w:t>
      </w:r>
    </w:p>
    <w:p>
      <w:pPr>
        <w:pStyle w:val="2"/>
        <w:rPr>
          <w:rFonts w:ascii="Times New Roman" w:hAnsi="Times New Roman" w:cs="Times New Roman"/>
          <w:szCs w:val="21"/>
          <w:highlight w:val="none"/>
        </w:rPr>
      </w:pPr>
    </w:p>
    <w:p>
      <w:pPr>
        <w:pStyle w:val="2"/>
        <w:rPr>
          <w:rFonts w:ascii="Times New Roman" w:hAnsi="Times New Roman" w:cs="Times New Roman"/>
          <w:szCs w:val="21"/>
          <w:highlight w:val="none"/>
        </w:rPr>
      </w:pPr>
    </w:p>
    <w:p>
      <w:pPr>
        <w:pStyle w:val="2"/>
        <w:rPr>
          <w:rFonts w:ascii="Times New Roman" w:hAnsi="Times New Roman" w:cs="Times New Roman"/>
          <w:szCs w:val="21"/>
          <w:highlight w:val="none"/>
        </w:rPr>
      </w:pPr>
    </w:p>
    <w:p>
      <w:pPr>
        <w:pStyle w:val="3"/>
        <w:rPr>
          <w:rFonts w:ascii="Times New Roman" w:hAnsi="Times New Roman" w:cs="Times New Roman"/>
          <w:szCs w:val="21"/>
          <w:highlight w:val="none"/>
        </w:rPr>
      </w:pPr>
    </w:p>
    <w:p>
      <w:pPr>
        <w:jc w:val="center"/>
        <w:rPr>
          <w:rFonts w:hint="eastAsia" w:ascii="Times New Roman" w:hAnsi="Times New Roman" w:eastAsia="黑体" w:cs="Times New Roman"/>
          <w:sz w:val="72"/>
          <w:szCs w:val="72"/>
          <w:highlight w:val="none"/>
          <w:lang w:eastAsia="zh-CN"/>
        </w:rPr>
      </w:pPr>
      <w:r>
        <w:rPr>
          <w:rFonts w:ascii="Times New Roman" w:hAnsi="Times New Roman" w:eastAsia="黑体" w:cs="Times New Roman"/>
          <w:sz w:val="72"/>
          <w:szCs w:val="72"/>
          <w:highlight w:val="none"/>
        </w:rPr>
        <w:t>询  比  文  件</w:t>
      </w: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420"/>
        <w:rPr>
          <w:rFonts w:ascii="Times New Roman" w:hAnsi="Times New Roman" w:cs="Times New Roman"/>
          <w:szCs w:val="21"/>
          <w:highlight w:val="none"/>
        </w:rPr>
      </w:pPr>
    </w:p>
    <w:p>
      <w:pPr>
        <w:spacing w:line="540" w:lineRule="exact"/>
        <w:ind w:firstLine="640"/>
        <w:rPr>
          <w:rFonts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pacing w:line="480" w:lineRule="auto"/>
        <w:ind w:left="1896" w:leftChars="903"/>
        <w:textAlignment w:val="auto"/>
        <w:rPr>
          <w:rFonts w:ascii="Times New Roman" w:hAnsi="Times New Roman" w:cs="Times New Roman"/>
          <w:szCs w:val="21"/>
          <w:highlight w:val="none"/>
        </w:rPr>
      </w:pPr>
    </w:p>
    <w:p>
      <w:pPr>
        <w:keepNext w:val="0"/>
        <w:keepLines w:val="0"/>
        <w:pageBreakBefore w:val="0"/>
        <w:widowControl w:val="0"/>
        <w:kinsoku/>
        <w:wordWrap/>
        <w:overflowPunct/>
        <w:topLinePunct w:val="0"/>
        <w:autoSpaceDE/>
        <w:autoSpaceDN/>
        <w:bidi w:val="0"/>
        <w:adjustRightInd/>
        <w:snapToGrid w:val="0"/>
        <w:spacing w:line="480" w:lineRule="auto"/>
        <w:ind w:firstLine="1600" w:firstLineChars="500"/>
        <w:jc w:val="both"/>
        <w:textAlignment w:val="auto"/>
        <w:rPr>
          <w:rFonts w:ascii="Times New Roman" w:hAnsi="Times New Roman" w:eastAsia="黑体" w:cs="Times New Roman"/>
          <w:sz w:val="32"/>
          <w:szCs w:val="32"/>
          <w:highlight w:val="none"/>
          <w:u w:val="single"/>
        </w:rPr>
      </w:pPr>
      <w:r>
        <w:rPr>
          <w:rFonts w:ascii="Times New Roman" w:hAnsi="Times New Roman" w:eastAsia="黑体" w:cs="Times New Roman"/>
          <w:sz w:val="32"/>
          <w:szCs w:val="32"/>
          <w:highlight w:val="none"/>
        </w:rPr>
        <w:t>采</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购</w:t>
      </w:r>
      <w:r>
        <w:rPr>
          <w:rFonts w:hint="eastAsia" w:ascii="Times New Roman" w:hAnsi="Times New Roman" w:eastAsia="黑体" w:cs="Times New Roman"/>
          <w:sz w:val="32"/>
          <w:szCs w:val="32"/>
          <w:highlight w:val="none"/>
          <w:lang w:val="en-US" w:eastAsia="zh-CN"/>
        </w:rPr>
        <w:t xml:space="preserve"> </w:t>
      </w:r>
      <w:r>
        <w:rPr>
          <w:rFonts w:ascii="Times New Roman" w:hAnsi="Times New Roman" w:eastAsia="黑体" w:cs="Times New Roman"/>
          <w:sz w:val="32"/>
          <w:szCs w:val="32"/>
          <w:highlight w:val="none"/>
        </w:rPr>
        <w:t>人：</w:t>
      </w:r>
      <w:r>
        <w:rPr>
          <w:rFonts w:ascii="Times New Roman" w:hAnsi="Times New Roman" w:eastAsia="黑体" w:cs="Times New Roman"/>
          <w:sz w:val="32"/>
          <w:szCs w:val="32"/>
          <w:highlight w:val="none"/>
          <w:u w:val="single"/>
        </w:rPr>
        <w:t xml:space="preserve"> 安徽</w:t>
      </w:r>
      <w:r>
        <w:rPr>
          <w:rFonts w:hint="eastAsia" w:ascii="Times New Roman" w:hAnsi="Times New Roman" w:eastAsia="黑体" w:cs="Times New Roman"/>
          <w:sz w:val="32"/>
          <w:szCs w:val="32"/>
          <w:highlight w:val="none"/>
          <w:u w:val="single"/>
          <w:lang w:val="en-US" w:eastAsia="zh-CN"/>
        </w:rPr>
        <w:t>省经工物资</w:t>
      </w:r>
      <w:r>
        <w:rPr>
          <w:rFonts w:ascii="Times New Roman" w:hAnsi="Times New Roman" w:eastAsia="黑体" w:cs="Times New Roman"/>
          <w:sz w:val="32"/>
          <w:szCs w:val="32"/>
          <w:highlight w:val="none"/>
          <w:u w:val="single"/>
        </w:rPr>
        <w:t>有限公司</w:t>
      </w:r>
    </w:p>
    <w:p>
      <w:pPr>
        <w:keepNext w:val="0"/>
        <w:keepLines w:val="0"/>
        <w:pageBreakBefore w:val="0"/>
        <w:widowControl w:val="0"/>
        <w:kinsoku/>
        <w:wordWrap/>
        <w:overflowPunct/>
        <w:topLinePunct w:val="0"/>
        <w:autoSpaceDE/>
        <w:autoSpaceDN/>
        <w:bidi w:val="0"/>
        <w:adjustRightInd/>
        <w:snapToGrid w:val="0"/>
        <w:spacing w:line="480" w:lineRule="auto"/>
        <w:ind w:left="0" w:leftChars="0" w:firstLine="1600" w:firstLineChars="500"/>
        <w:jc w:val="both"/>
        <w:textAlignment w:val="auto"/>
        <w:rPr>
          <w:rFonts w:ascii="Times New Roman" w:hAnsi="Times New Roman" w:cs="Times New Roman"/>
          <w:sz w:val="32"/>
          <w:szCs w:val="32"/>
          <w:highlight w:val="none"/>
        </w:rPr>
      </w:pPr>
      <w:r>
        <w:rPr>
          <w:rFonts w:hint="eastAsia" w:ascii="黑体" w:hAnsi="黑体" w:eastAsia="黑体" w:cs="黑体"/>
          <w:sz w:val="32"/>
          <w:szCs w:val="32"/>
          <w:highlight w:val="none"/>
          <w:lang w:val="en-US" w:eastAsia="zh-CN"/>
        </w:rPr>
        <w:t>日    期</w:t>
      </w:r>
      <w:r>
        <w:rPr>
          <w:rFonts w:ascii="Times New Roman" w:hAnsi="Times New Roman" w:cs="Times New Roman"/>
          <w:sz w:val="32"/>
          <w:szCs w:val="32"/>
          <w:highlight w:val="none"/>
        </w:rPr>
        <w:t>：</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2023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年</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 xml:space="preserve"> 11 </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月</w:t>
      </w:r>
      <w:r>
        <w:rPr>
          <w:rFonts w:ascii="Times New Roman" w:hAnsi="Times New Roman" w:eastAsia="黑体" w:cs="Times New Roman"/>
          <w:sz w:val="32"/>
          <w:szCs w:val="32"/>
          <w:highlight w:val="none"/>
          <w:u w:val="single"/>
        </w:rPr>
        <w:t xml:space="preserve"> </w:t>
      </w:r>
      <w:r>
        <w:rPr>
          <w:rFonts w:hint="eastAsia" w:ascii="Times New Roman" w:hAnsi="Times New Roman" w:eastAsia="黑体" w:cs="Times New Roman"/>
          <w:sz w:val="32"/>
          <w:szCs w:val="32"/>
          <w:highlight w:val="none"/>
          <w:u w:val="single"/>
          <w:lang w:val="en-US" w:eastAsia="zh-CN"/>
        </w:rPr>
        <w:t>17</w:t>
      </w:r>
      <w:r>
        <w:rPr>
          <w:rFonts w:ascii="Times New Roman" w:hAnsi="Times New Roman" w:eastAsia="黑体" w:cs="Times New Roman"/>
          <w:sz w:val="32"/>
          <w:szCs w:val="32"/>
          <w:highlight w:val="none"/>
          <w:u w:val="single"/>
        </w:rPr>
        <w:t xml:space="preserve"> </w:t>
      </w:r>
      <w:r>
        <w:rPr>
          <w:rFonts w:ascii="Times New Roman" w:hAnsi="Times New Roman"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Times New Roman" w:hAnsi="Times New Roman" w:cs="Times New Roman"/>
          <w:sz w:val="32"/>
          <w:szCs w:val="32"/>
          <w:highlight w:val="none"/>
        </w:rPr>
      </w:pPr>
    </w:p>
    <w:p>
      <w:pPr>
        <w:snapToGrid w:val="0"/>
        <w:ind w:firstLine="1920" w:firstLineChars="600"/>
        <w:rPr>
          <w:rFonts w:hint="eastAsia" w:ascii="Times New Roman" w:hAnsi="Times New Roman" w:cs="Times New Roman" w:eastAsiaTheme="minorEastAsia"/>
          <w:sz w:val="32"/>
          <w:szCs w:val="32"/>
          <w:highlight w:val="none"/>
          <w:lang w:val="en-US" w:eastAsia="zh-CN"/>
        </w:rPr>
      </w:pPr>
      <w:r>
        <w:rPr>
          <w:rFonts w:hint="eastAsia" w:ascii="Times New Roman" w:hAnsi="Times New Roman" w:cs="Times New Roman"/>
          <w:sz w:val="32"/>
          <w:szCs w:val="32"/>
          <w:highlight w:val="none"/>
          <w:lang w:val="en-US" w:eastAsia="zh-CN"/>
        </w:rPr>
        <w:t xml:space="preserve"> </w:t>
      </w:r>
    </w:p>
    <w:p>
      <w:pPr>
        <w:ind w:left="1896" w:leftChars="903"/>
        <w:rPr>
          <w:rFonts w:ascii="Times New Roman" w:hAnsi="Times New Roman" w:eastAsia="宋体" w:cs="Times New Roman"/>
          <w:sz w:val="24"/>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sdt>
      <w:sdtPr>
        <w:rPr>
          <w:rFonts w:ascii="宋体" w:hAnsi="宋体" w:eastAsia="宋体" w:cstheme="minorBidi"/>
          <w:kern w:val="2"/>
          <w:sz w:val="21"/>
          <w:szCs w:val="24"/>
          <w:highlight w:val="none"/>
          <w:lang w:val="en-US" w:eastAsia="zh-CN" w:bidi="ar-SA"/>
        </w:rPr>
        <w:id w:val="147468455"/>
        <w15:color w:val="DBDBDB"/>
        <w:docPartObj>
          <w:docPartGallery w:val="Table of Contents"/>
          <w:docPartUnique/>
        </w:docPartObj>
      </w:sdtPr>
      <w:sdtEndPr>
        <w:rPr>
          <w:rFonts w:ascii="宋体" w:hAnsi="宋体" w:eastAsia="宋体" w:cstheme="minorBidi"/>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TOC \o "1-1" \h \u </w:instrText>
          </w:r>
          <w:r>
            <w:rPr>
              <w:rFonts w:ascii="宋体" w:hAnsi="宋体" w:eastAsia="宋体"/>
              <w:highlight w:val="none"/>
            </w:rPr>
            <w:fldChar w:fldCharType="separate"/>
          </w:r>
          <w:r>
            <w:rPr>
              <w:rFonts w:ascii="宋体" w:hAnsi="宋体" w:eastAsia="宋体"/>
              <w:highlight w:val="none"/>
            </w:rPr>
            <w:fldChar w:fldCharType="begin"/>
          </w:r>
          <w:r>
            <w:rPr>
              <w:rFonts w:ascii="宋体" w:hAnsi="宋体" w:eastAsia="宋体"/>
              <w:highlight w:val="none"/>
            </w:rPr>
            <w:instrText xml:space="preserve"> HYPERLINK \l _Toc23747 </w:instrText>
          </w:r>
          <w:r>
            <w:rPr>
              <w:rFonts w:ascii="宋体" w:hAnsi="宋体" w:eastAsia="宋体"/>
              <w:highlight w:val="none"/>
            </w:rPr>
            <w:fldChar w:fldCharType="separate"/>
          </w:r>
          <w:r>
            <w:rPr>
              <w:rFonts w:hint="eastAsia" w:ascii="Times New Roman" w:hAnsi="Times New Roman" w:eastAsia="宋体" w:cs="Times New Roman"/>
            </w:rPr>
            <w:t xml:space="preserve">第一章 </w:t>
          </w:r>
          <w:r>
            <w:rPr>
              <w:rFonts w:ascii="Times New Roman" w:hAnsi="Times New Roman" w:eastAsia="宋体" w:cs="Times New Roman"/>
              <w:highlight w:val="none"/>
            </w:rPr>
            <w:t>采购公告</w:t>
          </w:r>
          <w:r>
            <w:tab/>
          </w:r>
          <w:r>
            <w:fldChar w:fldCharType="begin"/>
          </w:r>
          <w:r>
            <w:instrText xml:space="preserve"> PAGEREF _Toc23747 \h </w:instrText>
          </w:r>
          <w:r>
            <w:fldChar w:fldCharType="separate"/>
          </w:r>
          <w:r>
            <w:t>3</w:t>
          </w:r>
          <w:r>
            <w:fldChar w:fldCharType="end"/>
          </w:r>
          <w:r>
            <w:rPr>
              <w:rFonts w:ascii="宋体" w:hAnsi="宋体" w:eastAsia="宋体"/>
              <w:highlight w:val="none"/>
            </w:rPr>
            <w:fldChar w:fldCharType="end"/>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 HYPERLINK \l _Toc29758 </w:instrText>
          </w:r>
          <w:r>
            <w:rPr>
              <w:rFonts w:ascii="宋体" w:hAnsi="宋体" w:eastAsia="宋体"/>
              <w:highlight w:val="none"/>
            </w:rPr>
            <w:fldChar w:fldCharType="separate"/>
          </w:r>
          <w:r>
            <w:rPr>
              <w:rFonts w:hint="eastAsia" w:ascii="Times New Roman" w:hAnsi="Times New Roman" w:eastAsia="宋体" w:cs="Times New Roman"/>
            </w:rPr>
            <w:t xml:space="preserve">第二章 </w:t>
          </w:r>
          <w:r>
            <w:rPr>
              <w:rFonts w:ascii="Times New Roman" w:hAnsi="Times New Roman" w:eastAsia="宋体" w:cs="Times New Roman"/>
              <w:highlight w:val="none"/>
            </w:rPr>
            <w:t>供应商须知</w:t>
          </w:r>
          <w:r>
            <w:tab/>
          </w:r>
          <w:r>
            <w:fldChar w:fldCharType="begin"/>
          </w:r>
          <w:r>
            <w:instrText xml:space="preserve"> PAGEREF _Toc29758 \h </w:instrText>
          </w:r>
          <w:r>
            <w:fldChar w:fldCharType="separate"/>
          </w:r>
          <w:r>
            <w:t>6</w:t>
          </w:r>
          <w:r>
            <w:fldChar w:fldCharType="end"/>
          </w:r>
          <w:r>
            <w:rPr>
              <w:rFonts w:ascii="宋体" w:hAnsi="宋体" w:eastAsia="宋体"/>
              <w:highlight w:val="none"/>
            </w:rPr>
            <w:fldChar w:fldCharType="end"/>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 HYPERLINK \l _Toc6237 </w:instrText>
          </w:r>
          <w:r>
            <w:rPr>
              <w:rFonts w:ascii="宋体" w:hAnsi="宋体" w:eastAsia="宋体"/>
              <w:highlight w:val="none"/>
            </w:rPr>
            <w:fldChar w:fldCharType="separate"/>
          </w:r>
          <w:r>
            <w:rPr>
              <w:rFonts w:hint="eastAsia" w:ascii="Times New Roman" w:hAnsi="Times New Roman" w:eastAsia="宋体" w:cs="Times New Roman"/>
            </w:rPr>
            <w:t xml:space="preserve">第三章 </w:t>
          </w:r>
          <w:r>
            <w:rPr>
              <w:rFonts w:ascii="Times New Roman" w:hAnsi="Times New Roman" w:eastAsia="宋体" w:cs="Times New Roman"/>
              <w:highlight w:val="none"/>
            </w:rPr>
            <w:t>评审办法</w:t>
          </w:r>
          <w:r>
            <w:tab/>
          </w:r>
          <w:r>
            <w:fldChar w:fldCharType="begin"/>
          </w:r>
          <w:r>
            <w:instrText xml:space="preserve"> PAGEREF _Toc6237 \h </w:instrText>
          </w:r>
          <w:r>
            <w:fldChar w:fldCharType="separate"/>
          </w:r>
          <w:r>
            <w:t>16</w:t>
          </w:r>
          <w:r>
            <w:fldChar w:fldCharType="end"/>
          </w:r>
          <w:r>
            <w:rPr>
              <w:rFonts w:ascii="宋体" w:hAnsi="宋体" w:eastAsia="宋体"/>
              <w:highlight w:val="none"/>
            </w:rPr>
            <w:fldChar w:fldCharType="end"/>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 HYPERLINK \l _Toc32763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r>
            <w:tab/>
          </w:r>
          <w:r>
            <w:fldChar w:fldCharType="begin"/>
          </w:r>
          <w:r>
            <w:instrText xml:space="preserve"> PAGEREF _Toc32763 \h </w:instrText>
          </w:r>
          <w:r>
            <w:fldChar w:fldCharType="separate"/>
          </w:r>
          <w:r>
            <w:t>24</w:t>
          </w:r>
          <w:r>
            <w:fldChar w:fldCharType="end"/>
          </w:r>
          <w:r>
            <w:rPr>
              <w:rFonts w:ascii="宋体" w:hAnsi="宋体" w:eastAsia="宋体"/>
              <w:highlight w:val="none"/>
            </w:rPr>
            <w:fldChar w:fldCharType="end"/>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 HYPERLINK \l _Toc21020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 xml:space="preserve">第五章 </w:t>
          </w:r>
          <w:r>
            <w:rPr>
              <w:rFonts w:hint="eastAsia" w:ascii="Times New Roman" w:hAnsi="Times New Roman" w:eastAsia="宋体" w:cs="Times New Roman"/>
              <w:highlight w:val="none"/>
              <w:lang w:eastAsia="zh-CN"/>
            </w:rPr>
            <w:t>工程量清单</w:t>
          </w:r>
          <w:r>
            <w:tab/>
          </w:r>
          <w:r>
            <w:fldChar w:fldCharType="begin"/>
          </w:r>
          <w:r>
            <w:instrText xml:space="preserve"> PAGEREF _Toc21020 \h </w:instrText>
          </w:r>
          <w:r>
            <w:fldChar w:fldCharType="separate"/>
          </w:r>
          <w:r>
            <w:t>38</w:t>
          </w:r>
          <w:r>
            <w:fldChar w:fldCharType="end"/>
          </w:r>
          <w:r>
            <w:rPr>
              <w:rFonts w:ascii="宋体" w:hAnsi="宋体" w:eastAsia="宋体"/>
              <w:highlight w:val="none"/>
            </w:rPr>
            <w:fldChar w:fldCharType="end"/>
          </w:r>
        </w:p>
        <w:p>
          <w:pPr>
            <w:pStyle w:val="14"/>
            <w:tabs>
              <w:tab w:val="right" w:leader="dot" w:pos="8312"/>
            </w:tabs>
          </w:pPr>
          <w:r>
            <w:rPr>
              <w:rFonts w:ascii="宋体" w:hAnsi="宋体" w:eastAsia="宋体"/>
              <w:highlight w:val="none"/>
            </w:rPr>
            <w:fldChar w:fldCharType="begin"/>
          </w:r>
          <w:r>
            <w:rPr>
              <w:rFonts w:ascii="宋体" w:hAnsi="宋体" w:eastAsia="宋体"/>
              <w:highlight w:val="none"/>
            </w:rPr>
            <w:instrText xml:space="preserve"> HYPERLINK \l _Toc29179 </w:instrText>
          </w:r>
          <w:r>
            <w:rPr>
              <w:rFonts w:ascii="宋体" w:hAnsi="宋体" w:eastAsia="宋体"/>
              <w:highlight w:val="none"/>
            </w:rPr>
            <w:fldChar w:fldCharType="separate"/>
          </w:r>
          <w:r>
            <w:rPr>
              <w:rFonts w:hint="eastAsia" w:ascii="Times New Roman" w:hAnsi="Times New Roman" w:eastAsia="宋体" w:cs="Times New Roman"/>
              <w:highlight w:val="none"/>
              <w:lang w:val="en-US" w:eastAsia="zh-CN"/>
            </w:rPr>
            <w:t>第六章 响应文件格式</w:t>
          </w:r>
          <w:r>
            <w:tab/>
          </w:r>
          <w:r>
            <w:fldChar w:fldCharType="begin"/>
          </w:r>
          <w:r>
            <w:instrText xml:space="preserve"> PAGEREF _Toc29179 \h </w:instrText>
          </w:r>
          <w:r>
            <w:fldChar w:fldCharType="separate"/>
          </w:r>
          <w:r>
            <w:t>48</w:t>
          </w:r>
          <w:r>
            <w:fldChar w:fldCharType="end"/>
          </w:r>
          <w:r>
            <w:rPr>
              <w:rFonts w:ascii="宋体" w:hAnsi="宋体" w:eastAsia="宋体"/>
              <w:highlight w:val="none"/>
            </w:rPr>
            <w:fldChar w:fldCharType="end"/>
          </w:r>
        </w:p>
        <w:p>
          <w:pPr>
            <w:jc w:val="center"/>
            <w:rPr>
              <w:rFonts w:ascii="宋体" w:hAnsi="宋体" w:eastAsia="宋体"/>
              <w:highlight w:val="none"/>
            </w:rPr>
          </w:pPr>
          <w:r>
            <w:rPr>
              <w:rFonts w:ascii="宋体" w:hAnsi="宋体" w:eastAsia="宋体"/>
              <w:highlight w:val="none"/>
            </w:rPr>
            <w:fldChar w:fldCharType="end"/>
          </w:r>
        </w:p>
      </w:sdtContent>
    </w:sdt>
    <w:p>
      <w:pPr>
        <w:jc w:val="center"/>
        <w:rPr>
          <w:rFonts w:ascii="宋体" w:hAnsi="宋体" w:eastAsia="宋体"/>
          <w:highlight w:val="none"/>
        </w:rPr>
      </w:pPr>
    </w:p>
    <w:p>
      <w:pPr>
        <w:pStyle w:val="5"/>
        <w:numPr>
          <w:ilvl w:val="0"/>
          <w:numId w:val="0"/>
        </w:numPr>
        <w:spacing w:before="312" w:after="312"/>
        <w:ind w:leftChars="0"/>
        <w:jc w:val="both"/>
        <w:rPr>
          <w:rFonts w:ascii="Times New Roman" w:hAnsi="Times New Roman" w:eastAsia="宋体" w:cs="Times New Roman"/>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r>
        <w:rPr>
          <w:rFonts w:hint="eastAsia" w:ascii="Times New Roman" w:hAnsi="Times New Roman" w:eastAsia="宋体" w:cs="Times New Roman"/>
          <w:highlight w:val="none"/>
          <w:lang w:val="en-US" w:eastAsia="zh-CN"/>
        </w:rPr>
        <w:t xml:space="preserve">  </w:t>
      </w:r>
    </w:p>
    <w:p>
      <w:pPr>
        <w:pStyle w:val="5"/>
        <w:spacing w:before="312" w:after="312"/>
        <w:rPr>
          <w:rFonts w:ascii="Times New Roman" w:hAnsi="Times New Roman" w:eastAsia="宋体" w:cs="Times New Roman"/>
          <w:highlight w:val="none"/>
        </w:rPr>
      </w:pPr>
      <w:bookmarkStart w:id="0" w:name="_Toc15005"/>
      <w:bookmarkStart w:id="1" w:name="_Toc23747"/>
      <w:r>
        <w:rPr>
          <w:rFonts w:ascii="Times New Roman" w:hAnsi="Times New Roman" w:eastAsia="宋体" w:cs="Times New Roman"/>
          <w:highlight w:val="none"/>
        </w:rPr>
        <w:t>采购公告</w:t>
      </w:r>
      <w:bookmarkEnd w:id="0"/>
      <w:bookmarkEnd w:id="1"/>
    </w:p>
    <w:p>
      <w:pPr>
        <w:pStyle w:val="6"/>
        <w:snapToGrid w:val="0"/>
        <w:spacing w:before="120" w:after="120" w:line="240" w:lineRule="auto"/>
        <w:ind w:firstLine="403"/>
        <w:rPr>
          <w:rFonts w:ascii="Times New Roman" w:hAnsi="Times New Roman" w:eastAsia="黑体" w:cs="Times New Roman"/>
          <w:b w:val="0"/>
          <w:sz w:val="22"/>
          <w:szCs w:val="15"/>
          <w:highlight w:val="none"/>
        </w:rPr>
      </w:pPr>
      <w:bookmarkStart w:id="2" w:name="_Toc4489_WPSOffice_Level2"/>
      <w:bookmarkStart w:id="3" w:name="_Toc6496_WPSOffice_Level2"/>
      <w:bookmarkStart w:id="4" w:name="_Toc12765"/>
      <w:bookmarkStart w:id="5" w:name="_Toc13871"/>
      <w:bookmarkStart w:id="6" w:name="_Toc10395_WPSOffice_Level2"/>
      <w:bookmarkStart w:id="7" w:name="_Toc525632585"/>
      <w:bookmarkStart w:id="8" w:name="_Toc24354_WPSOffice_Level2"/>
      <w:r>
        <w:rPr>
          <w:rFonts w:ascii="Times New Roman" w:hAnsi="Times New Roman" w:eastAsia="黑体" w:cs="Times New Roman"/>
          <w:b w:val="0"/>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default" w:ascii="Times New Roman" w:hAnsi="Times New Roman" w:eastAsia="宋体" w:cs="Times New Roman"/>
          <w:sz w:val="32"/>
          <w:szCs w:val="32"/>
          <w:highlight w:val="none"/>
          <w:u w:val="none"/>
          <w:lang w:val="en-US" w:eastAsia="zh-CN"/>
        </w:rPr>
      </w:pPr>
      <w:r>
        <w:rPr>
          <w:rFonts w:hint="eastAsia" w:ascii="宋体" w:hAnsi="宋体" w:eastAsia="宋体" w:cs="宋体"/>
          <w:szCs w:val="21"/>
          <w:highlight w:val="none"/>
          <w:lang w:val="en-US" w:eastAsia="zh-CN"/>
        </w:rPr>
        <w:t>1.1项目名称：</w:t>
      </w:r>
      <w:r>
        <w:rPr>
          <w:rFonts w:hint="eastAsia" w:ascii="宋体" w:hAnsi="宋体" w:eastAsia="宋体" w:cs="宋体"/>
          <w:sz w:val="21"/>
          <w:szCs w:val="21"/>
          <w:highlight w:val="none"/>
          <w:u w:val="single"/>
          <w:lang w:val="en-US" w:eastAsia="zh-CN"/>
        </w:rPr>
        <w:t>安徽交控集团2023年度服务区综合改造提升工程（EPC）项目卫生间隔断采购项目</w:t>
      </w:r>
    </w:p>
    <w:p>
      <w:pPr>
        <w:snapToGrid w:val="0"/>
        <w:spacing w:line="440" w:lineRule="exact"/>
        <w:ind w:firstLine="420" w:firstLineChars="200"/>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1.2 采 购 人：</w:t>
      </w:r>
      <w:r>
        <w:rPr>
          <w:rFonts w:hint="eastAsia" w:ascii="宋体" w:hAnsi="宋体" w:eastAsia="宋体" w:cs="宋体"/>
          <w:sz w:val="21"/>
          <w:szCs w:val="21"/>
          <w:highlight w:val="none"/>
          <w:u w:val="single"/>
        </w:rPr>
        <w:t xml:space="preserve"> 安徽</w:t>
      </w:r>
      <w:r>
        <w:rPr>
          <w:rFonts w:hint="eastAsia" w:ascii="宋体" w:hAnsi="宋体" w:eastAsia="宋体" w:cs="宋体"/>
          <w:sz w:val="21"/>
          <w:szCs w:val="21"/>
          <w:highlight w:val="none"/>
          <w:u w:val="single"/>
          <w:lang w:val="en-US" w:eastAsia="zh-CN"/>
        </w:rPr>
        <w:t xml:space="preserve">省经工物资有限公司  </w:t>
      </w:r>
    </w:p>
    <w:p>
      <w:pPr>
        <w:keepNext w:val="0"/>
        <w:keepLines w:val="0"/>
        <w:widowControl/>
        <w:suppressLineNumbers w:val="0"/>
        <w:ind w:firstLine="420" w:firstLineChars="200"/>
        <w:jc w:val="left"/>
        <w:rPr>
          <w:rFonts w:hint="eastAsia" w:ascii="仿宋_GB2312" w:hAnsi="仿宋" w:eastAsia="仿宋_GB2312"/>
          <w:szCs w:val="21"/>
          <w:highlight w:val="none"/>
          <w:u w:val="none"/>
          <w:lang w:eastAsia="zh-CN"/>
        </w:rPr>
      </w:pPr>
      <w:r>
        <w:rPr>
          <w:rFonts w:hint="eastAsia" w:ascii="宋体" w:hAnsi="宋体" w:eastAsia="宋体" w:cs="宋体"/>
          <w:sz w:val="21"/>
          <w:szCs w:val="21"/>
          <w:highlight w:val="none"/>
        </w:rPr>
        <w:t>1.3 项目概况：</w:t>
      </w:r>
      <w:r>
        <w:rPr>
          <w:rFonts w:hint="eastAsia" w:ascii="宋体" w:hAnsi="宋体" w:eastAsia="宋体" w:cs="宋体"/>
          <w:sz w:val="21"/>
          <w:szCs w:val="21"/>
          <w:highlight w:val="none"/>
          <w:u w:val="single"/>
          <w:lang w:val="en-US" w:eastAsia="zh-CN"/>
        </w:rPr>
        <w:t xml:space="preserve">  23个服务区采购卫生间隔断。</w:t>
      </w:r>
    </w:p>
    <w:p>
      <w:pPr>
        <w:pStyle w:val="6"/>
        <w:snapToGrid w:val="0"/>
        <w:spacing w:before="120" w:after="120" w:line="240" w:lineRule="auto"/>
        <w:ind w:firstLine="403"/>
        <w:rPr>
          <w:rFonts w:ascii="Times New Roman" w:hAnsi="Times New Roman" w:eastAsia="黑体" w:cs="Times New Roman"/>
          <w:b w:val="0"/>
          <w:sz w:val="22"/>
          <w:szCs w:val="15"/>
          <w:highlight w:val="none"/>
        </w:rPr>
      </w:pPr>
      <w:bookmarkStart w:id="9" w:name="_Toc23266_WPSOffice_Level2"/>
      <w:bookmarkStart w:id="10" w:name="_Toc18453"/>
      <w:bookmarkStart w:id="11" w:name="_Toc18367_WPSOffice_Level2"/>
      <w:bookmarkStart w:id="12" w:name="_Toc525632586"/>
      <w:bookmarkStart w:id="13" w:name="_Toc17858_WPSOffice_Level2"/>
      <w:bookmarkStart w:id="14" w:name="_Toc8128_WPSOffice_Level2"/>
      <w:bookmarkStart w:id="15" w:name="_Toc10274"/>
      <w:r>
        <w:rPr>
          <w:rFonts w:ascii="Times New Roman" w:hAnsi="Times New Roman" w:eastAsia="黑体" w:cs="Times New Roman"/>
          <w:b w:val="0"/>
          <w:sz w:val="22"/>
          <w:szCs w:val="15"/>
          <w:highlight w:val="none"/>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宋体" w:hAnsi="宋体" w:eastAsia="宋体" w:cs="宋体"/>
          <w:szCs w:val="21"/>
          <w:highlight w:val="none"/>
          <w:u w:val="single"/>
          <w:lang w:val="en-US" w:eastAsia="zh-CN"/>
        </w:rPr>
      </w:pPr>
      <w:bookmarkStart w:id="16" w:name="_Toc4489_WPSOffice_Level3"/>
      <w:r>
        <w:rPr>
          <w:rFonts w:hint="eastAsia" w:ascii="宋体" w:hAnsi="宋体" w:eastAsia="宋体" w:cs="宋体"/>
          <w:szCs w:val="21"/>
          <w:highlight w:val="none"/>
        </w:rPr>
        <w:t>2.1 采购方式：</w:t>
      </w:r>
      <w:bookmarkEnd w:id="16"/>
      <w:r>
        <w:rPr>
          <w:rFonts w:hint="eastAsia" w:ascii="宋体" w:hAnsi="宋体" w:eastAsia="宋体" w:cs="宋体"/>
          <w:szCs w:val="21"/>
          <w:highlight w:val="none"/>
          <w:u w:val="single"/>
          <w:lang w:val="en-US" w:eastAsia="zh-CN"/>
        </w:rPr>
        <w:t xml:space="preserve">  询比采购   </w:t>
      </w:r>
    </w:p>
    <w:p>
      <w:pPr>
        <w:snapToGrid w:val="0"/>
        <w:spacing w:line="440" w:lineRule="exact"/>
        <w:ind w:firstLine="420" w:firstLineChars="200"/>
        <w:rPr>
          <w:rFonts w:hint="eastAsia" w:ascii="宋体" w:hAnsi="宋体" w:eastAsia="宋体" w:cs="宋体"/>
          <w:szCs w:val="21"/>
          <w:highlight w:val="none"/>
        </w:rPr>
      </w:pPr>
      <w:bookmarkStart w:id="17" w:name="_Toc23266_WPSOffice_Level3"/>
      <w:r>
        <w:rPr>
          <w:rFonts w:hint="eastAsia" w:ascii="宋体" w:hAnsi="宋体" w:eastAsia="宋体" w:cs="宋体"/>
          <w:szCs w:val="21"/>
          <w:highlight w:val="none"/>
        </w:rPr>
        <w:t>2.2 资金来源及比例：</w:t>
      </w:r>
      <w:bookmarkEnd w:id="17"/>
      <w:bookmarkStart w:id="18" w:name="_Toc22379_WPSOffice_Level3"/>
      <w:r>
        <w:rPr>
          <w:rFonts w:hint="eastAsia" w:ascii="宋体" w:hAnsi="宋体" w:eastAsia="宋体" w:cs="宋体"/>
          <w:szCs w:val="21"/>
          <w:highlight w:val="none"/>
          <w:u w:val="single"/>
        </w:rPr>
        <w:t>100%来自企业自筹</w:t>
      </w:r>
    </w:p>
    <w:p>
      <w:pPr>
        <w:snapToGrid w:val="0"/>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2.3 采购范围：</w:t>
      </w:r>
      <w:r>
        <w:rPr>
          <w:rFonts w:hint="eastAsia" w:ascii="宋体" w:hAnsi="宋体" w:eastAsia="宋体" w:cs="宋体"/>
          <w:sz w:val="21"/>
          <w:szCs w:val="21"/>
          <w:highlight w:val="none"/>
          <w:u w:val="single"/>
          <w:lang w:val="en-US" w:eastAsia="zh-CN"/>
        </w:rPr>
        <w:t>23个服务区采购卫生间隔断</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lang w:val="en-US" w:eastAsia="zh-CN"/>
        </w:rPr>
        <w:t xml:space="preserve">                                                           </w:t>
      </w:r>
    </w:p>
    <w:p>
      <w:pPr>
        <w:snapToGrid w:val="0"/>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 w:val="21"/>
          <w:szCs w:val="21"/>
          <w:highlight w:val="none"/>
          <w:u w:val="none"/>
          <w:lang w:val="en-US" w:eastAsia="zh-CN"/>
        </w:rPr>
        <w:t>2.4 推荐品牌范围：</w:t>
      </w:r>
      <w:r>
        <w:rPr>
          <w:rFonts w:hint="eastAsia" w:ascii="宋体" w:hAnsi="宋体" w:eastAsia="宋体" w:cs="宋体"/>
          <w:sz w:val="21"/>
          <w:szCs w:val="21"/>
          <w:highlight w:val="none"/>
          <w:u w:val="single"/>
          <w:lang w:val="en-US" w:eastAsia="zh-CN"/>
        </w:rPr>
        <w:t xml:space="preserve">    无 。   </w:t>
      </w:r>
      <w:r>
        <w:rPr>
          <w:rFonts w:hint="eastAsia" w:ascii="宋体" w:hAnsi="宋体" w:eastAsia="宋体" w:cs="宋体"/>
          <w:szCs w:val="21"/>
          <w:highlight w:val="none"/>
          <w:lang w:val="en-US" w:eastAsia="zh-CN"/>
        </w:rPr>
        <w:t xml:space="preserve">                                                     </w:t>
      </w:r>
    </w:p>
    <w:p>
      <w:pPr>
        <w:snapToGrid w:val="0"/>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2.5 合同包划分：</w:t>
      </w:r>
      <w:r>
        <w:rPr>
          <w:rFonts w:hint="eastAsia" w:ascii="宋体" w:hAnsi="宋体" w:eastAsia="宋体" w:cs="宋体"/>
          <w:szCs w:val="21"/>
          <w:highlight w:val="none"/>
          <w:u w:val="single"/>
          <w:lang w:val="en-US" w:eastAsia="zh-CN"/>
        </w:rPr>
        <w:t xml:space="preserve"> 1个包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 xml:space="preserve">                 </w:t>
      </w:r>
    </w:p>
    <w:p>
      <w:pPr>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 xml:space="preserve"> 最高限价：</w:t>
      </w:r>
      <w:bookmarkEnd w:id="18"/>
      <w:r>
        <w:rPr>
          <w:rFonts w:hint="eastAsia" w:ascii="宋体" w:hAnsi="宋体" w:eastAsia="宋体" w:cs="宋体"/>
          <w:szCs w:val="21"/>
          <w:highlight w:val="none"/>
          <w:u w:val="single"/>
          <w:lang w:val="en-US" w:eastAsia="zh-CN"/>
        </w:rPr>
        <w:t xml:space="preserve"> 202.28万元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pPr>
        <w:snapToGrid w:val="0"/>
        <w:spacing w:line="44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供货周期</w:t>
      </w:r>
      <w:r>
        <w:rPr>
          <w:rFonts w:hint="eastAsia" w:ascii="宋体" w:hAnsi="宋体" w:eastAsia="宋体" w:cs="宋体"/>
          <w:szCs w:val="21"/>
          <w:highlight w:val="none"/>
        </w:rPr>
        <w:t>：</w:t>
      </w:r>
      <w:r>
        <w:rPr>
          <w:rFonts w:hint="eastAsia" w:ascii="宋体" w:hAnsi="宋体" w:eastAsia="宋体" w:cs="宋体"/>
          <w:szCs w:val="21"/>
          <w:highlight w:val="none"/>
          <w:u w:val="single"/>
          <w:lang w:val="en-US" w:eastAsia="zh-CN"/>
        </w:rPr>
        <w:t>暂定 20 天，</w:t>
      </w:r>
      <w:r>
        <w:rPr>
          <w:rFonts w:hint="eastAsia" w:ascii="Times New Roman" w:hAnsi="Times New Roman" w:eastAsia="宋体" w:cs="Times New Roman"/>
          <w:szCs w:val="22"/>
          <w:highlight w:val="none"/>
          <w:u w:val="single"/>
          <w:lang w:val="en-US" w:eastAsia="zh-CN"/>
        </w:rPr>
        <w:t>具体</w:t>
      </w:r>
      <w:r>
        <w:rPr>
          <w:rFonts w:hint="eastAsia" w:ascii="Times New Roman" w:hAnsi="Times New Roman" w:cs="Times New Roman"/>
          <w:szCs w:val="22"/>
          <w:highlight w:val="none"/>
          <w:u w:val="single"/>
        </w:rPr>
        <w:t>根据实际情况安排进度</w:t>
      </w:r>
      <w:r>
        <w:rPr>
          <w:rFonts w:hint="eastAsia" w:ascii="宋体" w:hAnsi="宋体" w:eastAsia="宋体" w:cs="宋体"/>
          <w:sz w:val="21"/>
          <w:szCs w:val="21"/>
          <w:highlight w:val="none"/>
          <w:u w:val="none"/>
          <w:lang w:val="en-US" w:eastAsia="zh-CN"/>
        </w:rPr>
        <w:t>。</w:t>
      </w:r>
      <w:r>
        <w:rPr>
          <w:rFonts w:hint="eastAsia" w:ascii="宋体" w:hAnsi="宋体" w:eastAsia="宋体" w:cs="宋体"/>
          <w:szCs w:val="21"/>
          <w:highlight w:val="none"/>
          <w:u w:val="none"/>
          <w:lang w:val="en-US" w:eastAsia="zh-CN"/>
        </w:rPr>
        <w:t xml:space="preserve"> </w:t>
      </w:r>
      <w:r>
        <w:rPr>
          <w:rFonts w:hint="eastAsia" w:ascii="宋体" w:hAnsi="宋体" w:eastAsia="宋体" w:cs="宋体"/>
          <w:szCs w:val="21"/>
          <w:highlight w:val="none"/>
          <w:lang w:val="en-US" w:eastAsia="zh-CN"/>
        </w:rPr>
        <w:t xml:space="preserve">                </w:t>
      </w:r>
      <w:r>
        <w:rPr>
          <w:rFonts w:hint="eastAsia" w:ascii="宋体" w:hAnsi="宋体" w:eastAsia="宋体" w:cs="宋体"/>
          <w:szCs w:val="21"/>
          <w:highlight w:val="none"/>
        </w:rPr>
        <w:t xml:space="preserve"> </w:t>
      </w:r>
    </w:p>
    <w:p>
      <w:pPr>
        <w:pStyle w:val="6"/>
        <w:snapToGrid w:val="0"/>
        <w:spacing w:before="120" w:after="120" w:line="240" w:lineRule="auto"/>
        <w:ind w:firstLine="403"/>
        <w:rPr>
          <w:rFonts w:ascii="Times New Roman" w:hAnsi="Times New Roman" w:eastAsia="黑体" w:cs="Times New Roman"/>
          <w:b w:val="0"/>
          <w:sz w:val="22"/>
          <w:szCs w:val="15"/>
          <w:highlight w:val="none"/>
        </w:rPr>
      </w:pPr>
      <w:bookmarkStart w:id="19" w:name="_Toc1622_WPSOffice_Level2"/>
      <w:bookmarkStart w:id="20" w:name="_Toc6388"/>
      <w:bookmarkStart w:id="21" w:name="_Toc31673_WPSOffice_Level2"/>
      <w:bookmarkStart w:id="22" w:name="_Toc3714"/>
      <w:bookmarkStart w:id="23" w:name="_Toc22379_WPSOffice_Level2"/>
      <w:bookmarkStart w:id="24" w:name="_Toc525632587"/>
      <w:bookmarkStart w:id="25" w:name="_Toc29516_WPSOffice_Level2"/>
      <w:r>
        <w:rPr>
          <w:rFonts w:ascii="Times New Roman" w:hAnsi="Times New Roman" w:eastAsia="黑体" w:cs="Times New Roman"/>
          <w:b w:val="0"/>
          <w:sz w:val="22"/>
          <w:szCs w:val="15"/>
          <w:highlight w:val="none"/>
        </w:rPr>
        <w:t>供应商资格条件</w:t>
      </w:r>
      <w:bookmarkEnd w:id="19"/>
      <w:bookmarkEnd w:id="20"/>
      <w:bookmarkEnd w:id="21"/>
      <w:bookmarkEnd w:id="22"/>
      <w:bookmarkEnd w:id="23"/>
      <w:bookmarkEnd w:id="24"/>
      <w:bookmarkEnd w:id="25"/>
      <w:r>
        <w:rPr>
          <w:rFonts w:hint="eastAsia" w:ascii="Times New Roman" w:hAnsi="Times New Roman" w:eastAsia="黑体" w:cs="Times New Roman"/>
          <w:b w:val="0"/>
          <w:sz w:val="22"/>
          <w:szCs w:val="15"/>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Cs w:val="22"/>
          <w:highlight w:val="none"/>
        </w:rPr>
      </w:pPr>
      <w:r>
        <w:rPr>
          <w:rFonts w:hint="eastAsia" w:ascii="宋体" w:hAnsi="宋体" w:eastAsia="宋体" w:cs="宋体"/>
          <w:szCs w:val="22"/>
          <w:highlight w:val="none"/>
        </w:rPr>
        <w:t>3.1 本次采购要求供应商须同时具备：</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highlight w:val="none"/>
        </w:rPr>
      </w:pPr>
      <w:r>
        <w:rPr>
          <w:rFonts w:hint="eastAsia" w:ascii="Times New Roman" w:hAnsi="Times New Roman" w:cs="Times New Roman"/>
          <w:szCs w:val="22"/>
          <w:highlight w:val="none"/>
          <w:lang w:val="en-US" w:eastAsia="zh-CN"/>
        </w:rPr>
        <w:t>（1）</w:t>
      </w:r>
      <w:r>
        <w:rPr>
          <w:rFonts w:hint="eastAsia" w:ascii="Times New Roman" w:hAnsi="Times New Roman" w:cs="Times New Roman"/>
          <w:szCs w:val="22"/>
          <w:highlight w:val="none"/>
        </w:rPr>
        <w:t>资质最低要求：</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ighlight w:val="none"/>
          <w:lang w:val="en-US" w:eastAsia="zh-CN"/>
        </w:rPr>
      </w:pPr>
      <w:r>
        <w:rPr>
          <w:rFonts w:hint="eastAsia"/>
          <w:b/>
          <w:bCs/>
          <w:highlight w:val="none"/>
          <w:lang w:val="en-US" w:eastAsia="zh-CN"/>
        </w:rPr>
        <w:t>①</w:t>
      </w:r>
      <w:r>
        <w:rPr>
          <w:rFonts w:hint="eastAsia"/>
          <w:b/>
          <w:bCs/>
          <w:highlight w:val="none"/>
        </w:rPr>
        <w:t>具备独立法人资格，持有有效的营业执照</w:t>
      </w:r>
      <w:r>
        <w:rPr>
          <w:rFonts w:hint="eastAsia"/>
          <w:b/>
          <w:bCs/>
          <w:highlight w:val="none"/>
          <w:lang w:val="en-US" w:eastAsia="zh-CN"/>
        </w:rPr>
        <w:t>。</w:t>
      </w:r>
      <w:r>
        <w:rPr>
          <w:rFonts w:hint="eastAsia"/>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highlight w:val="none"/>
          <w:lang w:val="en-US" w:eastAsia="zh-CN"/>
        </w:rPr>
      </w:pPr>
      <w:r>
        <w:rPr>
          <w:rFonts w:hint="eastAsia"/>
          <w:b/>
          <w:bCs/>
          <w:highlight w:val="none"/>
          <w:lang w:val="en-US" w:eastAsia="zh-CN"/>
        </w:rPr>
        <w:t>②制造商/厂家参与询比的，应具备有生产、销售采购人所需材料的能力;制造商的授权代理商参加询比的，应具备代理证书/品牌厂家授权书，有生产、销售采购人所需材料的能力。</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szCs w:val="22"/>
          <w:highlight w:val="none"/>
        </w:rPr>
      </w:pP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2</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业绩最低要求：</w:t>
      </w:r>
    </w:p>
    <w:p>
      <w:pPr>
        <w:pStyle w:val="2"/>
        <w:keepNext w:val="0"/>
        <w:keepLines w:val="0"/>
        <w:pageBreakBefore w:val="0"/>
        <w:widowControl w:val="0"/>
        <w:kinsoku/>
        <w:wordWrap/>
        <w:overflowPunct/>
        <w:topLinePunct w:val="0"/>
        <w:autoSpaceDE/>
        <w:autoSpaceDN/>
        <w:bidi w:val="0"/>
        <w:adjustRightInd/>
        <w:snapToGrid w:val="0"/>
        <w:spacing w:after="0" w:line="440" w:lineRule="exact"/>
        <w:ind w:firstLine="420" w:firstLineChars="200"/>
        <w:jc w:val="both"/>
        <w:textAlignment w:val="auto"/>
        <w:rPr>
          <w:rFonts w:hint="eastAsia" w:ascii="宋体" w:hAnsi="宋体" w:eastAsia="宋体" w:cs="宋体"/>
          <w:b/>
          <w:bCs/>
          <w:highlight w:val="none"/>
          <w:u w:val="single"/>
          <w:lang w:val="en-US" w:eastAsia="zh-CN"/>
        </w:rPr>
      </w:pPr>
      <w:r>
        <w:rPr>
          <w:rFonts w:hint="eastAsia" w:ascii="宋体" w:hAnsi="宋体" w:eastAsia="宋体" w:cs="宋体"/>
          <w:b/>
          <w:bCs/>
          <w:highlight w:val="none"/>
          <w:u w:val="single"/>
          <w:lang w:val="en-US" w:eastAsia="zh-CN"/>
        </w:rPr>
        <w:t xml:space="preserve"> 至少提供1个自2020年1月1日以来，单项合同额不低于50万元的铝蜂窝</w:t>
      </w:r>
      <w:r>
        <w:rPr>
          <w:rFonts w:hint="eastAsia" w:ascii="Times New Roman" w:hAnsi="Times New Roman" w:cs="Times New Roman"/>
          <w:b/>
          <w:bCs/>
          <w:color w:val="auto"/>
          <w:szCs w:val="21"/>
          <w:highlight w:val="none"/>
          <w:u w:val="single"/>
          <w:lang w:val="en-US" w:eastAsia="zh-CN"/>
        </w:rPr>
        <w:t>卫生间隔断销售合同业绩</w:t>
      </w:r>
      <w:r>
        <w:rPr>
          <w:rFonts w:hint="eastAsia" w:ascii="宋体" w:hAnsi="宋体" w:eastAsia="宋体" w:cs="宋体"/>
          <w:b/>
          <w:bCs/>
          <w:highlight w:val="none"/>
          <w:u w:val="single"/>
          <w:lang w:val="en-US" w:eastAsia="zh-CN"/>
        </w:rPr>
        <w:t>。</w:t>
      </w:r>
    </w:p>
    <w:p>
      <w:pPr>
        <w:keepNext w:val="0"/>
        <w:keepLines w:val="0"/>
        <w:pageBreakBefore w:val="0"/>
        <w:widowControl w:val="0"/>
        <w:numPr>
          <w:ilvl w:val="255"/>
          <w:numId w:val="0"/>
        </w:numPr>
        <w:kinsoku/>
        <w:wordWrap/>
        <w:overflowPunct/>
        <w:topLinePunct w:val="0"/>
        <w:autoSpaceDE/>
        <w:autoSpaceDN/>
        <w:bidi w:val="0"/>
        <w:adjustRightInd/>
        <w:snapToGrid w:val="0"/>
        <w:spacing w:line="440" w:lineRule="exact"/>
        <w:ind w:firstLine="420" w:firstLineChars="200"/>
        <w:jc w:val="both"/>
        <w:textAlignment w:val="auto"/>
        <w:rPr>
          <w:rFonts w:hint="eastAsia"/>
          <w:highlight w:val="none"/>
          <w:lang w:val="en-US" w:eastAsia="zh-CN"/>
        </w:rPr>
      </w:pPr>
      <w:r>
        <w:rPr>
          <w:rFonts w:hint="eastAsia" w:asciiTheme="minorHAnsi" w:eastAsiaTheme="minorEastAsia"/>
          <w:highlight w:val="none"/>
          <w:lang w:val="en-US" w:eastAsia="zh-CN"/>
        </w:rPr>
        <w:t>业绩证明材料要求：</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①合同协议书</w:t>
      </w:r>
      <w:r>
        <w:rPr>
          <w:rFonts w:hint="eastAsia" w:cstheme="minorBidi"/>
          <w:kern w:val="2"/>
          <w:sz w:val="21"/>
          <w:szCs w:val="24"/>
          <w:highlight w:val="none"/>
          <w:lang w:val="en-US" w:eastAsia="zh-CN" w:bidi="ar-SA"/>
        </w:rPr>
        <w:t>扫描</w:t>
      </w:r>
      <w:r>
        <w:rPr>
          <w:rFonts w:hint="eastAsia" w:asciiTheme="minorHAnsi" w:hAnsiTheme="minorHAnsi" w:eastAsiaTheme="minorEastAsia" w:cstheme="minorBidi"/>
          <w:kern w:val="2"/>
          <w:sz w:val="21"/>
          <w:szCs w:val="24"/>
          <w:highlight w:val="none"/>
          <w:lang w:val="en-US" w:eastAsia="zh-CN" w:bidi="ar-SA"/>
        </w:rPr>
        <w:t xml:space="preserve">件；                                                                                                                                                                                                                                                                                                                                                                                                                                                                                                                                                                                                                                                                                                                                                                                                                                                                                                                                                                                                                                                                                                                                                                                                                                                                                                                                                                                                                                                                                                                                                                                                                                                                                                                                                                                                                                                                                                                                                                                                                                                                                                                                                                          </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42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②若合同协议书中不能明确反映出</w:t>
      </w:r>
      <w:r>
        <w:rPr>
          <w:rFonts w:hint="eastAsia" w:cstheme="minorBidi"/>
          <w:kern w:val="2"/>
          <w:sz w:val="21"/>
          <w:szCs w:val="24"/>
          <w:highlight w:val="none"/>
          <w:lang w:val="en-US" w:eastAsia="zh-CN" w:bidi="ar-SA"/>
        </w:rPr>
        <w:t>采购文件</w:t>
      </w:r>
      <w:r>
        <w:rPr>
          <w:rFonts w:hint="eastAsia" w:asciiTheme="minorHAnsi" w:hAnsiTheme="minorHAnsi" w:eastAsiaTheme="minorEastAsia" w:cstheme="minorBidi"/>
          <w:kern w:val="2"/>
          <w:sz w:val="21"/>
          <w:szCs w:val="24"/>
          <w:highlight w:val="none"/>
          <w:lang w:val="en-US" w:eastAsia="zh-CN" w:bidi="ar-SA"/>
        </w:rPr>
        <w:t>所要求内容的（如合同金额、合同签订时间、供货内容等），则须提供业主单位（甲方）出具加盖公章的证明材料</w:t>
      </w:r>
      <w:r>
        <w:rPr>
          <w:rFonts w:hint="eastAsia" w:cstheme="minorBidi"/>
          <w:kern w:val="2"/>
          <w:sz w:val="21"/>
          <w:szCs w:val="24"/>
          <w:highlight w:val="none"/>
          <w:lang w:val="en-US" w:eastAsia="zh-CN" w:bidi="ar-SA"/>
        </w:rPr>
        <w:t>复印</w:t>
      </w:r>
      <w:r>
        <w:rPr>
          <w:rFonts w:hint="eastAsia" w:asciiTheme="minorHAnsi" w:hAnsiTheme="minorHAnsi" w:eastAsiaTheme="minorEastAsia" w:cstheme="minorBidi"/>
          <w:kern w:val="2"/>
          <w:sz w:val="21"/>
          <w:szCs w:val="24"/>
          <w:highlight w:val="none"/>
          <w:lang w:val="en-US" w:eastAsia="zh-CN" w:bidi="ar-SA"/>
        </w:rPr>
        <w:t>件。</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szCs w:val="22"/>
          <w:highlight w:val="none"/>
          <w:lang w:val="en-US" w:eastAsia="zh-CN"/>
        </w:rPr>
      </w:pPr>
      <w:r>
        <w:rPr>
          <w:rFonts w:hint="eastAsia" w:asciiTheme="minorHAnsi" w:hAnsiTheme="minorHAnsi" w:eastAsiaTheme="minorEastAsia" w:cstheme="minorBidi"/>
          <w:kern w:val="2"/>
          <w:sz w:val="21"/>
          <w:szCs w:val="24"/>
          <w:highlight w:val="none"/>
          <w:lang w:val="en-US" w:eastAsia="zh-CN" w:bidi="ar-SA"/>
        </w:rPr>
        <w:t>③若同一业绩合同中包含多项</w:t>
      </w:r>
      <w:r>
        <w:rPr>
          <w:rFonts w:hint="eastAsia" w:asciiTheme="minorHAnsi" w:hAnsiTheme="minorHAnsi" w:cstheme="minorBidi"/>
          <w:kern w:val="2"/>
          <w:sz w:val="21"/>
          <w:szCs w:val="24"/>
          <w:highlight w:val="none"/>
          <w:lang w:val="en-US" w:eastAsia="zh-CN" w:bidi="ar-SA"/>
        </w:rPr>
        <w:t>材料（</w:t>
      </w:r>
      <w:r>
        <w:rPr>
          <w:rFonts w:hint="eastAsia" w:asciiTheme="minorHAnsi" w:hAnsiTheme="minorHAnsi" w:eastAsiaTheme="minorEastAsia" w:cstheme="minorBidi"/>
          <w:kern w:val="2"/>
          <w:sz w:val="21"/>
          <w:szCs w:val="24"/>
          <w:highlight w:val="none"/>
          <w:lang w:val="en-US" w:eastAsia="zh-CN" w:bidi="ar-SA"/>
        </w:rPr>
        <w:t>设备</w:t>
      </w:r>
      <w:r>
        <w:rPr>
          <w:rFonts w:hint="eastAsia" w:asciiTheme="minorHAnsi" w:hAnsiTheme="minorHAnsi"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，则合同中应能体现资格要求中所需</w:t>
      </w:r>
      <w:r>
        <w:rPr>
          <w:rFonts w:hint="eastAsia" w:asciiTheme="minorHAnsi" w:hAnsiTheme="minorHAnsi" w:cstheme="minorBidi"/>
          <w:kern w:val="2"/>
          <w:sz w:val="21"/>
          <w:szCs w:val="24"/>
          <w:highlight w:val="none"/>
          <w:lang w:val="en-US" w:eastAsia="zh-CN" w:bidi="ar-SA"/>
        </w:rPr>
        <w:t>材料（</w:t>
      </w:r>
      <w:r>
        <w:rPr>
          <w:rFonts w:hint="eastAsia" w:asciiTheme="minorHAnsi" w:hAnsiTheme="minorHAnsi" w:eastAsiaTheme="minorEastAsia" w:cstheme="minorBidi"/>
          <w:kern w:val="2"/>
          <w:sz w:val="21"/>
          <w:szCs w:val="24"/>
          <w:highlight w:val="none"/>
          <w:lang w:val="en-US" w:eastAsia="zh-CN" w:bidi="ar-SA"/>
        </w:rPr>
        <w:t>设备</w:t>
      </w:r>
      <w:r>
        <w:rPr>
          <w:rFonts w:hint="eastAsia" w:asciiTheme="minorHAnsi" w:hAnsiTheme="minorHAnsi" w:cstheme="minorBidi"/>
          <w:kern w:val="2"/>
          <w:sz w:val="21"/>
          <w:szCs w:val="24"/>
          <w:highlight w:val="none"/>
          <w:lang w:val="en-US" w:eastAsia="zh-CN" w:bidi="ar-SA"/>
        </w:rPr>
        <w:t>）</w:t>
      </w:r>
      <w:r>
        <w:rPr>
          <w:rFonts w:hint="eastAsia" w:asciiTheme="minorHAnsi" w:hAnsiTheme="minorHAnsi" w:eastAsiaTheme="minorEastAsia" w:cstheme="minorBidi"/>
          <w:kern w:val="2"/>
          <w:sz w:val="21"/>
          <w:szCs w:val="24"/>
          <w:highlight w:val="none"/>
          <w:lang w:val="en-US" w:eastAsia="zh-CN" w:bidi="ar-SA"/>
        </w:rPr>
        <w:t>的内容和金额，无法体现的，须提供供货单据、供货发票、业主验收单等能证明</w:t>
      </w:r>
      <w:r>
        <w:rPr>
          <w:rFonts w:hint="eastAsia" w:ascii="Times New Roman" w:hAnsi="Times New Roman" w:cs="Times New Roman"/>
          <w:szCs w:val="22"/>
          <w:highlight w:val="none"/>
          <w:lang w:val="en-US" w:eastAsia="zh-CN"/>
        </w:rPr>
        <w:t>相关评审因素的证明材料，否则业绩不予认可。</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Times New Roman" w:hAnsi="Times New Roman" w:cs="Times New Roman"/>
          <w:szCs w:val="22"/>
          <w:highlight w:val="none"/>
          <w:lang w:val="en-US" w:eastAsia="zh-CN"/>
        </w:rPr>
      </w:pPr>
      <w:r>
        <w:rPr>
          <w:rFonts w:hint="eastAsia" w:ascii="Times New Roman" w:hAnsi="Times New Roman" w:cs="Times New Roman"/>
          <w:szCs w:val="22"/>
          <w:highlight w:val="none"/>
          <w:lang w:val="en-US" w:eastAsia="zh-CN"/>
        </w:rPr>
        <w:t>（3）信誉要求最低要求：</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highlight w:val="none"/>
        </w:rPr>
      </w:pPr>
      <w:r>
        <w:rPr>
          <w:rFonts w:ascii="Times New Roman" w:hAnsi="Times New Roman" w:cs="Times New Roman"/>
          <w:szCs w:val="22"/>
          <w:highlight w:val="none"/>
        </w:rPr>
        <w:t>①</w:t>
      </w:r>
      <w:r>
        <w:rPr>
          <w:rFonts w:hint="eastAsia" w:ascii="Times New Roman" w:hAnsi="Times New Roman" w:cs="Times New Roman"/>
          <w:szCs w:val="22"/>
          <w:highlight w:val="none"/>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highlight w:val="none"/>
        </w:rPr>
      </w:pPr>
      <w:r>
        <w:rPr>
          <w:rFonts w:hint="eastAsia" w:ascii="Times New Roman" w:hAnsi="Times New Roman" w:cs="Times New Roman"/>
          <w:szCs w:val="22"/>
          <w:highlight w:val="none"/>
        </w:rPr>
        <w:t>②未进入清算程序，或被宣告破产，或其他丧失履约能力的情形；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③</w:t>
      </w:r>
      <w:r>
        <w:rPr>
          <w:rFonts w:ascii="Times New Roman" w:hAnsi="Times New Roman" w:cs="Times New Roman"/>
          <w:szCs w:val="22"/>
          <w:highlight w:val="none"/>
        </w:rPr>
        <w:t>在国家企业信用信息公示系统（http://www.gsxt.gov.cn）中</w:t>
      </w:r>
      <w:r>
        <w:rPr>
          <w:rFonts w:hint="eastAsia" w:ascii="Times New Roman" w:hAnsi="Times New Roman" w:cs="Times New Roman"/>
          <w:szCs w:val="22"/>
          <w:highlight w:val="none"/>
        </w:rPr>
        <w:t>未</w:t>
      </w:r>
      <w:r>
        <w:rPr>
          <w:rFonts w:ascii="Times New Roman" w:hAnsi="Times New Roman" w:cs="Times New Roman"/>
          <w:szCs w:val="22"/>
          <w:highlight w:val="none"/>
        </w:rPr>
        <w:t>被列入严重违法失信企业名单；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④</w:t>
      </w:r>
      <w:r>
        <w:rPr>
          <w:rFonts w:ascii="Times New Roman" w:hAnsi="Times New Roman" w:cs="Times New Roman"/>
          <w:szCs w:val="22"/>
          <w:highlight w:val="none"/>
        </w:rPr>
        <w:t>在“信用中国”网站（http://www.creditchina.gov.cn）中</w:t>
      </w:r>
      <w:r>
        <w:rPr>
          <w:rFonts w:hint="eastAsia" w:ascii="Times New Roman" w:hAnsi="Times New Roman" w:cs="Times New Roman"/>
          <w:szCs w:val="22"/>
          <w:highlight w:val="none"/>
        </w:rPr>
        <w:t>未</w:t>
      </w:r>
      <w:r>
        <w:rPr>
          <w:rFonts w:ascii="Times New Roman" w:hAnsi="Times New Roman" w:cs="Times New Roman"/>
          <w:szCs w:val="22"/>
          <w:highlight w:val="none"/>
        </w:rPr>
        <w:t>被列入失信被执行人名单；</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Cs w:val="22"/>
          <w:highlight w:val="none"/>
        </w:rPr>
      </w:pPr>
      <w:r>
        <w:rPr>
          <w:rFonts w:hint="eastAsia" w:ascii="Times New Roman" w:hAnsi="Times New Roman" w:cs="Times New Roman"/>
          <w:szCs w:val="22"/>
          <w:highlight w:val="none"/>
        </w:rPr>
        <w:t>⑤</w:t>
      </w:r>
      <w:r>
        <w:rPr>
          <w:rFonts w:ascii="Times New Roman" w:hAnsi="Times New Roman" w:cs="Times New Roman"/>
          <w:szCs w:val="22"/>
          <w:highlight w:val="none"/>
        </w:rPr>
        <w:t>在近三年内（自</w:t>
      </w:r>
      <w:r>
        <w:rPr>
          <w:rFonts w:hint="eastAsia" w:ascii="Times New Roman" w:hAnsi="Times New Roman" w:cs="Times New Roman"/>
          <w:szCs w:val="22"/>
          <w:highlight w:val="none"/>
        </w:rPr>
        <w:t>响应文件递交截止之日</w:t>
      </w:r>
      <w:r>
        <w:rPr>
          <w:rFonts w:ascii="Times New Roman" w:hAnsi="Times New Roman" w:cs="Times New Roman"/>
          <w:szCs w:val="22"/>
          <w:highlight w:val="none"/>
        </w:rPr>
        <w:t>向前追溯3年）供应商或其法定代表人、拟委任的项目经理</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lang w:val="en-US" w:eastAsia="zh-CN"/>
        </w:rPr>
        <w:t>如有</w:t>
      </w:r>
      <w:r>
        <w:rPr>
          <w:rFonts w:hint="eastAsia" w:ascii="Times New Roman" w:hAnsi="Times New Roman" w:cs="Times New Roman"/>
          <w:szCs w:val="22"/>
          <w:highlight w:val="none"/>
          <w:lang w:eastAsia="zh-CN"/>
        </w:rPr>
        <w:t>）</w:t>
      </w:r>
      <w:r>
        <w:rPr>
          <w:rFonts w:hint="eastAsia" w:ascii="Times New Roman" w:hAnsi="Times New Roman" w:cs="Times New Roman"/>
          <w:szCs w:val="22"/>
          <w:highlight w:val="none"/>
        </w:rPr>
        <w:t>未</w:t>
      </w:r>
      <w:r>
        <w:rPr>
          <w:rFonts w:ascii="Times New Roman" w:hAnsi="Times New Roman" w:cs="Times New Roman"/>
          <w:szCs w:val="22"/>
          <w:highlight w:val="none"/>
        </w:rPr>
        <w:t>有行贿犯罪行为。</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highlight w:val="none"/>
        </w:rPr>
      </w:pPr>
      <w:r>
        <w:rPr>
          <w:rFonts w:hint="eastAsia" w:ascii="Times New Roman" w:hAnsi="Times New Roman"/>
          <w:highlight w:val="none"/>
        </w:rPr>
        <w:t>⑥其他要求：</w:t>
      </w:r>
      <w:r>
        <w:rPr>
          <w:rFonts w:hint="eastAsia" w:ascii="Times New Roman" w:hAnsi="Times New Roman"/>
          <w:highlight w:val="none"/>
          <w:u w:val="single"/>
          <w:lang w:val="en-US" w:eastAsia="zh-CN"/>
        </w:rPr>
        <w:t xml:space="preserve">        /        </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highlight w:val="none"/>
        </w:rPr>
      </w:pPr>
      <w:r>
        <w:rPr>
          <w:rFonts w:ascii="Times New Roman" w:hAnsi="Times New Roman" w:cs="Times New Roman"/>
          <w:szCs w:val="22"/>
          <w:highlight w:val="none"/>
        </w:rPr>
        <w:t>3.2 联合体：本次采购</w:t>
      </w:r>
      <w:r>
        <w:rPr>
          <w:rFonts w:hint="eastAsia" w:ascii="Times New Roman" w:hAnsi="Times New Roman" w:cs="Times New Roman"/>
          <w:szCs w:val="22"/>
          <w:highlight w:val="none"/>
        </w:rPr>
        <w:t>不接受</w:t>
      </w:r>
      <w:r>
        <w:rPr>
          <w:rFonts w:ascii="Times New Roman" w:hAnsi="Times New Roman" w:cs="Times New Roman"/>
          <w:szCs w:val="22"/>
          <w:highlight w:val="none"/>
        </w:rPr>
        <w:t>联合体报价。</w:t>
      </w:r>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Times New Roman" w:hAnsi="Times New Roman" w:cs="Times New Roman"/>
          <w:sz w:val="18"/>
          <w:szCs w:val="21"/>
          <w:highlight w:val="none"/>
        </w:rPr>
      </w:pPr>
      <w:r>
        <w:rPr>
          <w:rFonts w:ascii="Times New Roman" w:hAnsi="Times New Roman" w:cs="Times New Roman"/>
          <w:szCs w:val="22"/>
          <w:highlight w:val="none"/>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 w:val="0"/>
          <w:sz w:val="22"/>
          <w:szCs w:val="15"/>
          <w:highlight w:val="none"/>
        </w:rPr>
      </w:pPr>
      <w:bookmarkStart w:id="26" w:name="_Toc2996_WPSOffice_Level2"/>
      <w:bookmarkStart w:id="27" w:name="_Toc1994"/>
      <w:bookmarkStart w:id="28" w:name="_Toc525632588"/>
      <w:bookmarkStart w:id="29" w:name="_Toc25666_WPSOffice_Level2"/>
      <w:bookmarkStart w:id="30" w:name="_Toc4109_WPSOffice_Level2"/>
      <w:bookmarkStart w:id="31" w:name="_Toc29452_WPSOffice_Level2"/>
      <w:bookmarkStart w:id="32" w:name="_Toc4751"/>
      <w:r>
        <w:rPr>
          <w:rFonts w:hint="eastAsia" w:ascii="Times New Roman" w:hAnsi="Times New Roman" w:eastAsia="黑体" w:cs="Times New Roman"/>
          <w:b w:val="0"/>
          <w:sz w:val="22"/>
          <w:szCs w:val="15"/>
          <w:highlight w:val="none"/>
        </w:rPr>
        <w:t>询比文件</w:t>
      </w:r>
      <w:r>
        <w:rPr>
          <w:rFonts w:ascii="Times New Roman" w:hAnsi="Times New Roman" w:eastAsia="黑体" w:cs="Times New Roman"/>
          <w:b w:val="0"/>
          <w:sz w:val="22"/>
          <w:szCs w:val="15"/>
          <w:highlight w:val="none"/>
        </w:rPr>
        <w:t>的获取</w:t>
      </w:r>
      <w:bookmarkEnd w:id="26"/>
      <w:bookmarkEnd w:id="27"/>
      <w:bookmarkEnd w:id="28"/>
      <w:bookmarkEnd w:id="29"/>
      <w:bookmarkEnd w:id="30"/>
      <w:bookmarkEnd w:id="31"/>
      <w:bookmarkEnd w:id="32"/>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default" w:ascii="宋体" w:hAnsi="宋体" w:eastAsia="宋体" w:cs="宋体"/>
          <w:szCs w:val="22"/>
          <w:highlight w:val="none"/>
          <w:lang w:val="en-US" w:eastAsia="zh-CN"/>
        </w:rPr>
      </w:pPr>
      <w:r>
        <w:rPr>
          <w:rFonts w:hint="eastAsia" w:ascii="宋体" w:hAnsi="宋体" w:eastAsia="宋体" w:cs="宋体"/>
          <w:szCs w:val="22"/>
          <w:highlight w:val="none"/>
        </w:rPr>
        <w:t>供应商应在递交响应文件的截止时间前登录</w:t>
      </w:r>
      <w:r>
        <w:rPr>
          <w:rFonts w:hint="eastAsia" w:ascii="宋体" w:hAnsi="宋体" w:eastAsia="宋体" w:cs="宋体"/>
          <w:szCs w:val="22"/>
          <w:highlight w:val="none"/>
          <w:lang w:eastAsia="zh-CN"/>
        </w:rPr>
        <w:t>“</w:t>
      </w:r>
      <w:r>
        <w:rPr>
          <w:rFonts w:hint="eastAsia" w:ascii="宋体" w:hAnsi="宋体" w:eastAsia="宋体" w:cs="宋体"/>
          <w:szCs w:val="22"/>
          <w:highlight w:val="none"/>
        </w:rPr>
        <w:t>安徽</w:t>
      </w:r>
      <w:r>
        <w:rPr>
          <w:rFonts w:hint="eastAsia" w:ascii="宋体" w:hAnsi="宋体" w:eastAsia="宋体" w:cs="宋体"/>
          <w:szCs w:val="22"/>
          <w:highlight w:val="none"/>
          <w:lang w:val="en-US" w:eastAsia="zh-CN"/>
        </w:rPr>
        <w:t>省经工建设集团有限公司</w:t>
      </w:r>
      <w:r>
        <w:rPr>
          <w:rFonts w:hint="eastAsia" w:ascii="宋体" w:hAnsi="宋体" w:eastAsia="宋体" w:cs="宋体"/>
          <w:szCs w:val="22"/>
          <w:highlight w:val="none"/>
          <w:lang w:eastAsia="zh-CN"/>
        </w:rPr>
        <w:t>”</w:t>
      </w:r>
      <w:r>
        <w:rPr>
          <w:rFonts w:hint="eastAsia" w:ascii="宋体" w:hAnsi="宋体" w:eastAsia="宋体" w:cs="宋体"/>
          <w:szCs w:val="22"/>
          <w:highlight w:val="none"/>
        </w:rPr>
        <w:t>网站（https://www.ahjggroup.com/）</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通知公告</w:t>
      </w:r>
      <w:r>
        <w:rPr>
          <w:rFonts w:hint="eastAsia" w:ascii="宋体" w:hAnsi="宋体" w:eastAsia="宋体" w:cs="宋体"/>
          <w:szCs w:val="22"/>
          <w:highlight w:val="none"/>
          <w:lang w:eastAsia="zh-CN"/>
        </w:rPr>
        <w:t>”</w:t>
      </w:r>
      <w:r>
        <w:rPr>
          <w:rFonts w:hint="eastAsia" w:ascii="宋体" w:hAnsi="宋体" w:eastAsia="宋体" w:cs="宋体"/>
          <w:szCs w:val="22"/>
          <w:highlight w:val="none"/>
        </w:rPr>
        <w:t>栏，选择所参加的</w:t>
      </w:r>
      <w:r>
        <w:rPr>
          <w:rFonts w:hint="eastAsia" w:ascii="宋体" w:hAnsi="宋体" w:eastAsia="宋体" w:cs="宋体"/>
          <w:szCs w:val="22"/>
          <w:highlight w:val="none"/>
          <w:lang w:val="en-US" w:eastAsia="zh-CN"/>
        </w:rPr>
        <w:t>合同包</w:t>
      </w:r>
      <w:r>
        <w:rPr>
          <w:rFonts w:hint="eastAsia" w:ascii="宋体" w:hAnsi="宋体" w:eastAsia="宋体" w:cs="宋体"/>
          <w:szCs w:val="22"/>
          <w:highlight w:val="none"/>
        </w:rPr>
        <w:t>，自行下载询比文件及相关资料</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含澄清、补遗及相关补充文件</w:t>
      </w:r>
      <w:r>
        <w:rPr>
          <w:rFonts w:hint="eastAsia" w:ascii="宋体" w:hAnsi="宋体" w:eastAsia="宋体" w:cs="宋体"/>
          <w:szCs w:val="22"/>
          <w:highlight w:val="none"/>
          <w:lang w:eastAsia="zh-CN"/>
        </w:rPr>
        <w:t>）</w:t>
      </w:r>
      <w:r>
        <w:rPr>
          <w:rFonts w:hint="eastAsia" w:ascii="宋体" w:hAnsi="宋体" w:eastAsia="宋体" w:cs="宋体"/>
          <w:szCs w:val="22"/>
          <w:highlight w:val="none"/>
        </w:rPr>
        <w:t>。未按规定在</w:t>
      </w:r>
      <w:r>
        <w:rPr>
          <w:rFonts w:hint="eastAsia" w:ascii="宋体" w:hAnsi="宋体" w:eastAsia="宋体" w:cs="宋体"/>
          <w:szCs w:val="22"/>
          <w:highlight w:val="none"/>
          <w:lang w:eastAsia="zh-CN"/>
        </w:rPr>
        <w:t>“</w:t>
      </w:r>
      <w:r>
        <w:rPr>
          <w:rFonts w:hint="eastAsia" w:ascii="宋体" w:hAnsi="宋体" w:eastAsia="宋体" w:cs="宋体"/>
          <w:szCs w:val="22"/>
          <w:highlight w:val="none"/>
        </w:rPr>
        <w:t>安徽</w:t>
      </w:r>
      <w:r>
        <w:rPr>
          <w:rFonts w:hint="eastAsia" w:ascii="宋体" w:hAnsi="宋体" w:eastAsia="宋体" w:cs="宋体"/>
          <w:szCs w:val="22"/>
          <w:highlight w:val="none"/>
          <w:lang w:val="en-US" w:eastAsia="zh-CN"/>
        </w:rPr>
        <w:t>省经工建设集团有限公司</w:t>
      </w:r>
      <w:r>
        <w:rPr>
          <w:rFonts w:hint="eastAsia" w:ascii="宋体" w:hAnsi="宋体" w:eastAsia="宋体" w:cs="宋体"/>
          <w:szCs w:val="22"/>
          <w:highlight w:val="none"/>
          <w:lang w:eastAsia="zh-CN"/>
        </w:rPr>
        <w:t>”</w:t>
      </w:r>
      <w:r>
        <w:rPr>
          <w:rFonts w:hint="eastAsia" w:ascii="宋体" w:hAnsi="宋体" w:eastAsia="宋体" w:cs="宋体"/>
          <w:szCs w:val="22"/>
          <w:highlight w:val="none"/>
        </w:rPr>
        <w:t>（https://www.ahjggroup.com/）</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通知公告</w:t>
      </w:r>
      <w:r>
        <w:rPr>
          <w:rFonts w:hint="eastAsia" w:ascii="宋体" w:hAnsi="宋体" w:eastAsia="宋体" w:cs="宋体"/>
          <w:szCs w:val="22"/>
          <w:highlight w:val="none"/>
          <w:lang w:eastAsia="zh-CN"/>
        </w:rPr>
        <w:t>”</w:t>
      </w:r>
      <w:r>
        <w:rPr>
          <w:rFonts w:hint="eastAsia" w:ascii="宋体" w:hAnsi="宋体" w:eastAsia="宋体" w:cs="宋体"/>
          <w:szCs w:val="22"/>
          <w:highlight w:val="none"/>
        </w:rPr>
        <w:t>栏下载询比文件的，后续将不予接受其响应文件。</w:t>
      </w:r>
      <w:r>
        <w:rPr>
          <w:rFonts w:hint="eastAsia" w:ascii="宋体" w:hAnsi="宋体" w:eastAsia="宋体" w:cs="宋体"/>
          <w:szCs w:val="22"/>
          <w:highlight w:val="none"/>
          <w:lang w:val="en-US" w:eastAsia="zh-CN"/>
        </w:rPr>
        <w:t xml:space="preserve">  </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bookmarkStart w:id="33" w:name="_Toc726"/>
      <w:bookmarkStart w:id="34" w:name="_Toc525632589"/>
      <w:r>
        <w:rPr>
          <w:rFonts w:hint="eastAsia" w:ascii="Times New Roman" w:hAnsi="Times New Roman" w:eastAsia="黑体" w:cs="Times New Roman"/>
          <w:b w:val="0"/>
          <w:sz w:val="22"/>
          <w:szCs w:val="15"/>
          <w:highlight w:val="none"/>
        </w:rPr>
        <w:t>响应文件的递交</w:t>
      </w:r>
      <w:bookmarkEnd w:id="33"/>
      <w:bookmarkEnd w:id="34"/>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firstLineChars="200"/>
        <w:jc w:val="both"/>
        <w:textAlignment w:val="auto"/>
        <w:rPr>
          <w:rFonts w:hint="eastAsia" w:ascii="Times New Roman" w:hAnsi="Times New Roman" w:cs="Times New Roman" w:eastAsiaTheme="minorEastAsia"/>
          <w:kern w:val="2"/>
          <w:sz w:val="21"/>
          <w:szCs w:val="22"/>
          <w:highlight w:val="none"/>
          <w:u w:val="none"/>
          <w:lang w:val="en-US" w:eastAsia="zh-CN"/>
        </w:rPr>
      </w:pPr>
      <w:bookmarkStart w:id="35" w:name="_Toc525632591"/>
      <w:bookmarkStart w:id="36" w:name="_Toc22719"/>
      <w:r>
        <w:rPr>
          <w:rFonts w:hint="eastAsia" w:asciiTheme="minorEastAsia" w:hAnsiTheme="minorEastAsia" w:eastAsiaTheme="minorEastAsia" w:cstheme="minorEastAsia"/>
          <w:sz w:val="21"/>
          <w:szCs w:val="21"/>
          <w:highlight w:val="none"/>
        </w:rPr>
        <w:t>响应文件递交的截止时间</w:t>
      </w:r>
      <w:r>
        <w:rPr>
          <w:rFonts w:hint="eastAsia" w:asciiTheme="minorEastAsia" w:hAnsiTheme="minorEastAsia" w:eastAsiaTheme="minorEastAsia" w:cstheme="minorEastAsia"/>
          <w:sz w:val="21"/>
          <w:szCs w:val="21"/>
          <w:highlight w:val="none"/>
          <w:lang w:val="en-US" w:eastAsia="zh-CN"/>
        </w:rPr>
        <w:t>为</w:t>
      </w:r>
      <w:r>
        <w:rPr>
          <w:rFonts w:hint="eastAsia" w:asciiTheme="minorEastAsia" w:hAnsiTheme="minorEastAsia" w:eastAsiaTheme="minorEastAsia" w:cstheme="minorEastAsia"/>
          <w:b/>
          <w:bCs/>
          <w:sz w:val="21"/>
          <w:szCs w:val="21"/>
          <w:highlight w:val="none"/>
          <w:u w:val="single"/>
          <w:lang w:val="en-US" w:eastAsia="zh-CN"/>
        </w:rPr>
        <w:t xml:space="preserve"> 2023 </w:t>
      </w:r>
      <w:r>
        <w:rPr>
          <w:rFonts w:hint="eastAsia" w:asciiTheme="minorEastAsia" w:hAnsiTheme="minorEastAsia" w:eastAsiaTheme="minorEastAsia" w:cstheme="minorEastAsia"/>
          <w:b/>
          <w:bCs/>
          <w:sz w:val="21"/>
          <w:szCs w:val="21"/>
          <w:highlight w:val="none"/>
          <w:lang w:val="en-US" w:eastAsia="zh-CN"/>
        </w:rPr>
        <w:t>年</w:t>
      </w:r>
      <w:r>
        <w:rPr>
          <w:rFonts w:hint="eastAsia" w:asciiTheme="minorEastAsia" w:hAnsiTheme="minorEastAsia" w:eastAsiaTheme="minorEastAsia" w:cstheme="minorEastAsia"/>
          <w:b/>
          <w:bCs/>
          <w:sz w:val="21"/>
          <w:szCs w:val="21"/>
          <w:highlight w:val="none"/>
          <w:u w:val="single"/>
          <w:lang w:val="en-US" w:eastAsia="zh-CN"/>
        </w:rPr>
        <w:t xml:space="preserve"> 11 </w:t>
      </w:r>
      <w:r>
        <w:rPr>
          <w:rFonts w:hint="eastAsia" w:asciiTheme="minorEastAsia" w:hAnsiTheme="minorEastAsia" w:eastAsiaTheme="minorEastAsia" w:cstheme="minorEastAsia"/>
          <w:b/>
          <w:bCs/>
          <w:sz w:val="21"/>
          <w:szCs w:val="21"/>
          <w:highlight w:val="none"/>
          <w:lang w:val="en-US" w:eastAsia="zh-CN"/>
        </w:rPr>
        <w:t>月</w:t>
      </w:r>
      <w:r>
        <w:rPr>
          <w:rFonts w:hint="eastAsia" w:asciiTheme="minorEastAsia" w:hAnsiTheme="minorEastAsia" w:eastAsiaTheme="minorEastAsia" w:cstheme="minorEastAsia"/>
          <w:b/>
          <w:bCs/>
          <w:sz w:val="21"/>
          <w:szCs w:val="21"/>
          <w:highlight w:val="none"/>
          <w:u w:val="single"/>
          <w:lang w:val="en-US" w:eastAsia="zh-CN"/>
        </w:rPr>
        <w:t xml:space="preserve"> 24 </w:t>
      </w:r>
      <w:r>
        <w:rPr>
          <w:rFonts w:hint="eastAsia" w:asciiTheme="minorEastAsia" w:hAnsiTheme="minorEastAsia" w:eastAsiaTheme="minorEastAsia" w:cstheme="minorEastAsia"/>
          <w:b/>
          <w:bCs/>
          <w:sz w:val="21"/>
          <w:szCs w:val="21"/>
          <w:highlight w:val="none"/>
          <w:lang w:val="en-US" w:eastAsia="zh-CN"/>
        </w:rPr>
        <w:t>日</w:t>
      </w:r>
      <w:r>
        <w:rPr>
          <w:rFonts w:hint="eastAsia" w:asciiTheme="minorEastAsia" w:hAnsiTheme="minorEastAsia" w:eastAsiaTheme="minorEastAsia" w:cstheme="minorEastAsia"/>
          <w:b/>
          <w:bCs/>
          <w:sz w:val="21"/>
          <w:szCs w:val="21"/>
          <w:highlight w:val="none"/>
          <w:u w:val="single"/>
          <w:lang w:val="en-US" w:eastAsia="zh-CN"/>
        </w:rPr>
        <w:t xml:space="preserve"> 9 </w:t>
      </w:r>
      <w:r>
        <w:rPr>
          <w:rFonts w:hint="eastAsia" w:asciiTheme="minorEastAsia" w:hAnsiTheme="minorEastAsia" w:eastAsiaTheme="minorEastAsia" w:cstheme="minorEastAsia"/>
          <w:b/>
          <w:bCs/>
          <w:sz w:val="21"/>
          <w:szCs w:val="21"/>
          <w:highlight w:val="none"/>
          <w:lang w:val="en-US" w:eastAsia="zh-CN"/>
        </w:rPr>
        <w:t>时</w:t>
      </w:r>
      <w:r>
        <w:rPr>
          <w:rFonts w:hint="eastAsia" w:asciiTheme="minorEastAsia" w:hAnsiTheme="minorEastAsia" w:eastAsiaTheme="minorEastAsia" w:cstheme="minorEastAsia"/>
          <w:b/>
          <w:bCs/>
          <w:sz w:val="21"/>
          <w:szCs w:val="21"/>
          <w:highlight w:val="none"/>
          <w:u w:val="single"/>
          <w:lang w:val="en-US" w:eastAsia="zh-CN"/>
        </w:rPr>
        <w:t xml:space="preserve"> 30 </w:t>
      </w:r>
      <w:r>
        <w:rPr>
          <w:rFonts w:hint="eastAsia" w:asciiTheme="minorEastAsia" w:hAnsiTheme="minorEastAsia" w:eastAsiaTheme="minorEastAsia" w:cstheme="minorEastAsia"/>
          <w:b/>
          <w:bCs/>
          <w:sz w:val="21"/>
          <w:szCs w:val="21"/>
          <w:highlight w:val="none"/>
          <w:lang w:val="en-US" w:eastAsia="zh-CN"/>
        </w:rPr>
        <w:t>分</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供应商的法定代表人或其授权代理人应在文件递交截止时间前</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将响应文件递交</w:t>
      </w:r>
      <w:r>
        <w:rPr>
          <w:rFonts w:hint="eastAsia" w:asciiTheme="minorEastAsia" w:hAnsiTheme="minorEastAsia" w:eastAsiaTheme="minorEastAsia" w:cstheme="minorEastAsia"/>
          <w:sz w:val="21"/>
          <w:szCs w:val="21"/>
          <w:highlight w:val="none"/>
          <w:u w:val="none"/>
          <w:lang w:val="en-US" w:eastAsia="zh-CN"/>
        </w:rPr>
        <w:t>至</w:t>
      </w:r>
      <w:r>
        <w:rPr>
          <w:rFonts w:hint="eastAsia" w:asciiTheme="minorEastAsia" w:hAnsiTheme="minorEastAsia" w:eastAsiaTheme="minorEastAsia" w:cstheme="minorEastAsia"/>
          <w:kern w:val="2"/>
          <w:sz w:val="21"/>
          <w:szCs w:val="21"/>
          <w:highlight w:val="none"/>
          <w:u w:val="none"/>
        </w:rPr>
        <w:t>安徽省合肥市包河区西藏路1</w:t>
      </w:r>
      <w:r>
        <w:rPr>
          <w:rFonts w:hint="eastAsia" w:asciiTheme="minorEastAsia" w:hAnsiTheme="minorEastAsia" w:eastAsiaTheme="minorEastAsia" w:cstheme="minorEastAsia"/>
          <w:kern w:val="2"/>
          <w:sz w:val="21"/>
          <w:szCs w:val="21"/>
          <w:highlight w:val="none"/>
          <w:u w:val="none"/>
          <w:lang w:val="en-US" w:eastAsia="zh-CN"/>
        </w:rPr>
        <w:t>588</w:t>
      </w:r>
      <w:r>
        <w:rPr>
          <w:rFonts w:hint="eastAsia" w:asciiTheme="minorEastAsia" w:hAnsiTheme="minorEastAsia" w:eastAsiaTheme="minorEastAsia" w:cstheme="minorEastAsia"/>
          <w:kern w:val="2"/>
          <w:sz w:val="21"/>
          <w:szCs w:val="21"/>
          <w:highlight w:val="none"/>
          <w:u w:val="none"/>
        </w:rPr>
        <w:t>号高速时代广场C1栋</w:t>
      </w:r>
      <w:r>
        <w:rPr>
          <w:rFonts w:hint="eastAsia" w:asciiTheme="minorEastAsia" w:hAnsiTheme="minorEastAsia" w:eastAsiaTheme="minorEastAsia" w:cstheme="minorEastAsia"/>
          <w:kern w:val="2"/>
          <w:sz w:val="21"/>
          <w:szCs w:val="21"/>
          <w:highlight w:val="none"/>
          <w:u w:val="none"/>
          <w:lang w:val="en-US" w:eastAsia="zh-CN"/>
        </w:rPr>
        <w:t>1008</w:t>
      </w:r>
      <w:r>
        <w:rPr>
          <w:rFonts w:hint="eastAsia" w:asciiTheme="minorEastAsia" w:hAnsiTheme="minorEastAsia" w:eastAsiaTheme="minorEastAsia" w:cstheme="minorEastAsia"/>
          <w:kern w:val="2"/>
          <w:sz w:val="21"/>
          <w:szCs w:val="21"/>
          <w:highlight w:val="none"/>
          <w:u w:val="none"/>
        </w:rPr>
        <w:t>安徽</w:t>
      </w:r>
      <w:r>
        <w:rPr>
          <w:rFonts w:hint="eastAsia" w:asciiTheme="minorEastAsia" w:hAnsiTheme="minorEastAsia" w:eastAsiaTheme="minorEastAsia" w:cstheme="minorEastAsia"/>
          <w:kern w:val="2"/>
          <w:sz w:val="21"/>
          <w:szCs w:val="21"/>
          <w:highlight w:val="none"/>
          <w:u w:val="none"/>
          <w:lang w:val="en-US" w:eastAsia="zh-CN"/>
        </w:rPr>
        <w:t>省经工物资有限公司</w:t>
      </w:r>
      <w:r>
        <w:rPr>
          <w:rFonts w:hint="eastAsia" w:asciiTheme="minorEastAsia" w:hAnsiTheme="minorEastAsia" w:eastAsiaTheme="minorEastAsia" w:cstheme="minorEastAsia"/>
          <w:kern w:val="2"/>
          <w:sz w:val="21"/>
          <w:szCs w:val="21"/>
          <w:highlight w:val="none"/>
          <w:lang w:eastAsia="zh-CN"/>
        </w:rPr>
        <w:t>。</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r>
        <w:rPr>
          <w:rFonts w:hint="eastAsia" w:ascii="Times New Roman" w:hAnsi="Times New Roman" w:eastAsia="黑体" w:cs="Times New Roman"/>
          <w:b w:val="0"/>
          <w:sz w:val="22"/>
          <w:szCs w:val="15"/>
          <w:highlight w:val="none"/>
        </w:rPr>
        <w:t>响应文件启封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
          <w:bCs/>
          <w:szCs w:val="22"/>
          <w:highlight w:val="none"/>
          <w:lang w:val="en-US" w:eastAsia="zh-CN"/>
        </w:rPr>
      </w:pPr>
      <w:r>
        <w:rPr>
          <w:rFonts w:ascii="Times New Roman" w:hAnsi="Times New Roman" w:cs="Times New Roman"/>
          <w:szCs w:val="22"/>
          <w:highlight w:val="none"/>
        </w:rPr>
        <w:t>响应文件的递交截止时间到后，采购人将于</w:t>
      </w:r>
      <w:r>
        <w:rPr>
          <w:rFonts w:hint="eastAsia" w:ascii="Times New Roman" w:hAnsi="Times New Roman" w:cs="Times New Roman"/>
          <w:szCs w:val="22"/>
          <w:highlight w:val="none"/>
          <w:u w:val="single"/>
        </w:rPr>
        <w:t>安徽省合肥市包河区西藏路1</w:t>
      </w:r>
      <w:r>
        <w:rPr>
          <w:rFonts w:hint="eastAsia" w:ascii="Times New Roman" w:hAnsi="Times New Roman" w:cs="Times New Roman"/>
          <w:szCs w:val="22"/>
          <w:highlight w:val="none"/>
          <w:u w:val="single"/>
          <w:lang w:val="en-US" w:eastAsia="zh-CN"/>
        </w:rPr>
        <w:t>588</w:t>
      </w:r>
      <w:r>
        <w:rPr>
          <w:rFonts w:hint="eastAsia" w:ascii="Times New Roman" w:hAnsi="Times New Roman" w:cs="Times New Roman"/>
          <w:szCs w:val="22"/>
          <w:highlight w:val="none"/>
          <w:u w:val="single"/>
        </w:rPr>
        <w:t>号高速时代广场C1栋</w:t>
      </w:r>
      <w:r>
        <w:rPr>
          <w:rFonts w:hint="eastAsia" w:ascii="Times New Roman" w:hAnsi="Times New Roman" w:cs="Times New Roman"/>
          <w:szCs w:val="22"/>
          <w:highlight w:val="none"/>
          <w:u w:val="single"/>
          <w:lang w:val="en-US" w:eastAsia="zh-CN"/>
        </w:rPr>
        <w:t>1008</w:t>
      </w:r>
      <w:r>
        <w:rPr>
          <w:rFonts w:hint="eastAsia" w:ascii="Times New Roman" w:hAnsi="Times New Roman" w:cs="Times New Roman" w:eastAsiaTheme="minorEastAsia"/>
          <w:kern w:val="2"/>
          <w:sz w:val="21"/>
          <w:szCs w:val="22"/>
          <w:highlight w:val="none"/>
          <w:u w:val="single"/>
        </w:rPr>
        <w:t>安徽</w:t>
      </w:r>
      <w:r>
        <w:rPr>
          <w:rFonts w:hint="eastAsia" w:ascii="Times New Roman" w:hAnsi="Times New Roman" w:cs="Times New Roman" w:eastAsiaTheme="minorEastAsia"/>
          <w:kern w:val="2"/>
          <w:sz w:val="21"/>
          <w:szCs w:val="22"/>
          <w:highlight w:val="none"/>
          <w:u w:val="single"/>
          <w:lang w:val="en-US" w:eastAsia="zh-CN"/>
        </w:rPr>
        <w:t>省经工物资有限公司</w:t>
      </w:r>
      <w:r>
        <w:rPr>
          <w:rFonts w:ascii="Times New Roman" w:hAnsi="Times New Roman" w:cs="Times New Roman"/>
          <w:szCs w:val="22"/>
          <w:highlight w:val="none"/>
        </w:rPr>
        <w:t>（地点）</w:t>
      </w:r>
      <w:r>
        <w:rPr>
          <w:rFonts w:hint="eastAsia" w:ascii="Times New Roman" w:hAnsi="Times New Roman" w:cs="Times New Roman"/>
          <w:szCs w:val="22"/>
          <w:highlight w:val="none"/>
        </w:rPr>
        <w:t>现场</w:t>
      </w:r>
      <w:r>
        <w:rPr>
          <w:rFonts w:ascii="Times New Roman" w:hAnsi="Times New Roman" w:cs="Times New Roman"/>
          <w:szCs w:val="22"/>
          <w:highlight w:val="none"/>
        </w:rPr>
        <w:t>组织进行响应文件的启</w:t>
      </w:r>
      <w:r>
        <w:rPr>
          <w:rFonts w:hint="eastAsia" w:ascii="Times New Roman" w:hAnsi="Times New Roman" w:cs="Times New Roman"/>
          <w:szCs w:val="22"/>
          <w:highlight w:val="none"/>
        </w:rPr>
        <w:t>封。</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r>
        <w:rPr>
          <w:rFonts w:hint="eastAsia" w:ascii="Times New Roman" w:hAnsi="Times New Roman" w:eastAsia="黑体" w:cs="Times New Roman"/>
          <w:b w:val="0"/>
          <w:sz w:val="22"/>
          <w:szCs w:val="15"/>
          <w:highlight w:val="none"/>
        </w:rPr>
        <w:t>响应保证金</w:t>
      </w:r>
    </w:p>
    <w:p>
      <w:pPr>
        <w:keepNext w:val="0"/>
        <w:keepLines w:val="0"/>
        <w:pageBreakBefore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响应保证金的金额：</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rPr>
        <w:t>本项目响应保证金：</w:t>
      </w:r>
      <w:r>
        <w:rPr>
          <w:rFonts w:hint="eastAsia" w:ascii="宋体" w:hAnsi="宋体" w:eastAsia="宋体" w:cs="宋体"/>
          <w:b/>
          <w:bCs/>
          <w:kern w:val="2"/>
          <w:sz w:val="21"/>
          <w:szCs w:val="21"/>
          <w:highlight w:val="none"/>
          <w:u w:val="single"/>
          <w:lang w:val="en-US" w:eastAsia="zh-CN"/>
        </w:rPr>
        <w:t xml:space="preserve"> </w:t>
      </w:r>
      <w:r>
        <w:rPr>
          <w:rFonts w:hint="eastAsia" w:cs="宋体"/>
          <w:b/>
          <w:bCs/>
          <w:kern w:val="2"/>
          <w:sz w:val="21"/>
          <w:szCs w:val="21"/>
          <w:highlight w:val="none"/>
          <w:u w:val="single"/>
          <w:lang w:val="en-US" w:eastAsia="zh-CN"/>
        </w:rPr>
        <w:t>40000</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rPr>
        <w:t>元（大写：</w:t>
      </w:r>
      <w:r>
        <w:rPr>
          <w:rFonts w:hint="eastAsia" w:cs="宋体"/>
          <w:b/>
          <w:bCs/>
          <w:kern w:val="2"/>
          <w:sz w:val="21"/>
          <w:szCs w:val="21"/>
          <w:highlight w:val="none"/>
          <w:u w:val="single"/>
          <w:lang w:val="en-US" w:eastAsia="zh-CN"/>
        </w:rPr>
        <w:t xml:space="preserve"> 肆万元整</w:t>
      </w:r>
      <w:r>
        <w:rPr>
          <w:rFonts w:hint="eastAsia" w:ascii="宋体" w:hAnsi="宋体" w:eastAsia="宋体" w:cs="宋体"/>
          <w:b/>
          <w:bCs/>
          <w:kern w:val="2"/>
          <w:sz w:val="21"/>
          <w:szCs w:val="21"/>
          <w:highlight w:val="none"/>
          <w:u w:val="single"/>
          <w:lang w:val="en-US" w:eastAsia="zh-CN"/>
        </w:rPr>
        <w:t xml:space="preserve">  </w:t>
      </w:r>
      <w:r>
        <w:rPr>
          <w:rFonts w:hint="eastAsia" w:ascii="宋体" w:hAnsi="宋体" w:eastAsia="宋体" w:cs="宋体"/>
          <w:b/>
          <w:bCs/>
          <w:kern w:val="2"/>
          <w:sz w:val="21"/>
          <w:szCs w:val="21"/>
          <w:highlight w:val="none"/>
          <w:lang w:val="en-US" w:eastAsia="zh-CN"/>
        </w:rPr>
        <w:t xml:space="preserve"> </w:t>
      </w:r>
      <w:r>
        <w:rPr>
          <w:rFonts w:hint="eastAsia" w:ascii="宋体" w:hAnsi="宋体" w:eastAsia="宋体" w:cs="宋体"/>
          <w:b/>
          <w:bCs/>
          <w:kern w:val="2"/>
          <w:sz w:val="21"/>
          <w:szCs w:val="21"/>
          <w:highlight w:val="none"/>
        </w:rPr>
        <w:t>）。</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sz w:val="21"/>
          <w:szCs w:val="21"/>
          <w:highlight w:val="none"/>
        </w:rPr>
      </w:pPr>
      <w:r>
        <w:rPr>
          <w:rFonts w:hint="eastAsia" w:ascii="宋体" w:hAnsi="宋体" w:eastAsia="宋体" w:cs="宋体"/>
          <w:kern w:val="2"/>
          <w:sz w:val="21"/>
          <w:szCs w:val="21"/>
          <w:highlight w:val="none"/>
        </w:rPr>
        <w:t>报价方应向询价方以下账户递交询价响应保证金，以转账方式从报价方账户转出</w:t>
      </w:r>
      <w:r>
        <w:rPr>
          <w:rFonts w:hint="eastAsia" w:ascii="宋体" w:hAnsi="宋体" w:eastAsia="宋体" w:cs="宋体"/>
          <w:b w:val="0"/>
          <w:bCs w:val="0"/>
          <w:kern w:val="2"/>
          <w:sz w:val="21"/>
          <w:szCs w:val="21"/>
          <w:highlight w:val="none"/>
        </w:rPr>
        <w:t>，</w:t>
      </w:r>
      <w:r>
        <w:rPr>
          <w:rFonts w:hint="eastAsia" w:ascii="宋体" w:hAnsi="宋体" w:eastAsia="宋体" w:cs="宋体"/>
          <w:b/>
          <w:bCs/>
          <w:kern w:val="2"/>
          <w:sz w:val="21"/>
          <w:szCs w:val="21"/>
          <w:highlight w:val="none"/>
        </w:rPr>
        <w:t>并将银行的电子回执单作为其响应文件的组成部分。</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rPr>
        <w:t>户名：安徽</w:t>
      </w:r>
      <w:r>
        <w:rPr>
          <w:rFonts w:hint="eastAsia" w:ascii="宋体" w:hAnsi="宋体" w:eastAsia="宋体" w:cs="宋体"/>
          <w:b/>
          <w:bCs/>
          <w:kern w:val="2"/>
          <w:sz w:val="21"/>
          <w:szCs w:val="21"/>
          <w:highlight w:val="none"/>
          <w:lang w:val="en-US" w:eastAsia="zh-CN"/>
        </w:rPr>
        <w:t>省经工物</w:t>
      </w:r>
      <w:r>
        <w:rPr>
          <w:rFonts w:hint="eastAsia" w:cs="宋体"/>
          <w:b/>
          <w:bCs/>
          <w:kern w:val="2"/>
          <w:sz w:val="21"/>
          <w:szCs w:val="21"/>
          <w:highlight w:val="none"/>
          <w:lang w:val="en-US" w:eastAsia="zh-CN"/>
        </w:rPr>
        <w:t>资</w:t>
      </w:r>
      <w:r>
        <w:rPr>
          <w:rFonts w:hint="eastAsia" w:ascii="宋体" w:hAnsi="宋体" w:eastAsia="宋体" w:cs="宋体"/>
          <w:b/>
          <w:bCs/>
          <w:kern w:val="2"/>
          <w:sz w:val="21"/>
          <w:szCs w:val="21"/>
          <w:highlight w:val="none"/>
          <w:lang w:val="en-US" w:eastAsia="zh-CN"/>
        </w:rPr>
        <w:t>有限公司</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lang w:val="en-US" w:eastAsia="zh-CN"/>
        </w:rPr>
        <w:t>开户银行</w:t>
      </w:r>
      <w:r>
        <w:rPr>
          <w:rFonts w:hint="eastAsia" w:ascii="宋体" w:hAnsi="宋体" w:eastAsia="宋体" w:cs="宋体"/>
          <w:b/>
          <w:bCs/>
          <w:kern w:val="2"/>
          <w:sz w:val="21"/>
          <w:szCs w:val="21"/>
          <w:highlight w:val="none"/>
        </w:rPr>
        <w:t>：</w:t>
      </w:r>
      <w:r>
        <w:rPr>
          <w:rFonts w:hint="eastAsia" w:ascii="宋体" w:hAnsi="宋体" w:eastAsia="宋体" w:cs="宋体"/>
          <w:b/>
          <w:bCs/>
          <w:kern w:val="2"/>
          <w:sz w:val="21"/>
          <w:szCs w:val="21"/>
          <w:highlight w:val="none"/>
          <w:lang w:val="en-US" w:eastAsia="zh-CN"/>
        </w:rPr>
        <w:t>工行合肥</w:t>
      </w:r>
      <w:r>
        <w:rPr>
          <w:rFonts w:hint="eastAsia" w:cs="宋体"/>
          <w:b/>
          <w:bCs/>
          <w:kern w:val="2"/>
          <w:sz w:val="21"/>
          <w:szCs w:val="21"/>
          <w:highlight w:val="none"/>
          <w:lang w:val="en-US" w:eastAsia="zh-CN"/>
        </w:rPr>
        <w:t>银河</w:t>
      </w:r>
      <w:r>
        <w:rPr>
          <w:rFonts w:hint="eastAsia" w:ascii="宋体" w:hAnsi="宋体" w:eastAsia="宋体" w:cs="宋体"/>
          <w:b/>
          <w:bCs/>
          <w:kern w:val="2"/>
          <w:sz w:val="21"/>
          <w:szCs w:val="21"/>
          <w:highlight w:val="none"/>
          <w:lang w:val="en-US" w:eastAsia="zh-CN"/>
        </w:rPr>
        <w:t>支行</w:t>
      </w:r>
    </w:p>
    <w:p>
      <w:pPr>
        <w:pStyle w:val="17"/>
        <w:keepNext w:val="0"/>
        <w:keepLines w:val="0"/>
        <w:pageBreakBefore w:val="0"/>
        <w:kinsoku/>
        <w:wordWrap/>
        <w:overflowPunct/>
        <w:topLinePunct w:val="0"/>
        <w:autoSpaceDE/>
        <w:autoSpaceDN/>
        <w:bidi w:val="0"/>
        <w:adjustRightInd/>
        <w:spacing w:before="0" w:beforeAutospacing="0" w:after="0" w:afterAutospacing="0" w:line="440" w:lineRule="exact"/>
        <w:ind w:firstLine="420"/>
        <w:jc w:val="both"/>
        <w:textAlignment w:val="auto"/>
        <w:rPr>
          <w:rFonts w:hint="eastAsia" w:ascii="宋体" w:hAnsi="宋体" w:eastAsia="宋体" w:cs="宋体"/>
          <w:b/>
          <w:bCs/>
          <w:kern w:val="2"/>
          <w:sz w:val="21"/>
          <w:szCs w:val="21"/>
          <w:highlight w:val="none"/>
          <w:lang w:val="en-US" w:eastAsia="zh-CN"/>
        </w:rPr>
      </w:pPr>
      <w:r>
        <w:rPr>
          <w:rFonts w:hint="eastAsia" w:ascii="宋体" w:hAnsi="宋体" w:eastAsia="宋体" w:cs="宋体"/>
          <w:b/>
          <w:bCs/>
          <w:kern w:val="2"/>
          <w:sz w:val="21"/>
          <w:szCs w:val="21"/>
          <w:highlight w:val="none"/>
        </w:rPr>
        <w:t>账号：</w:t>
      </w:r>
      <w:r>
        <w:rPr>
          <w:rFonts w:hint="eastAsia" w:ascii="宋体" w:hAnsi="宋体" w:eastAsia="宋体" w:cs="宋体"/>
          <w:b/>
          <w:bCs/>
          <w:kern w:val="2"/>
          <w:sz w:val="21"/>
          <w:szCs w:val="21"/>
          <w:highlight w:val="none"/>
          <w:lang w:val="en-US" w:eastAsia="zh-CN"/>
        </w:rPr>
        <w:t xml:space="preserve">1302 </w:t>
      </w:r>
      <w:r>
        <w:rPr>
          <w:rFonts w:hint="eastAsia" w:cs="宋体"/>
          <w:b/>
          <w:bCs/>
          <w:kern w:val="2"/>
          <w:sz w:val="21"/>
          <w:szCs w:val="21"/>
          <w:highlight w:val="none"/>
          <w:lang w:val="en-US" w:eastAsia="zh-CN"/>
        </w:rPr>
        <w:t>0121</w:t>
      </w:r>
      <w:r>
        <w:rPr>
          <w:rFonts w:hint="eastAsia" w:ascii="宋体" w:hAnsi="宋体" w:eastAsia="宋体" w:cs="宋体"/>
          <w:b/>
          <w:bCs/>
          <w:kern w:val="2"/>
          <w:sz w:val="21"/>
          <w:szCs w:val="21"/>
          <w:highlight w:val="none"/>
          <w:lang w:val="en-US" w:eastAsia="zh-CN"/>
        </w:rPr>
        <w:t xml:space="preserve"> 1</w:t>
      </w:r>
      <w:r>
        <w:rPr>
          <w:rFonts w:hint="eastAsia" w:cs="宋体"/>
          <w:b/>
          <w:bCs/>
          <w:kern w:val="2"/>
          <w:sz w:val="21"/>
          <w:szCs w:val="21"/>
          <w:highlight w:val="none"/>
          <w:lang w:val="en-US" w:eastAsia="zh-CN"/>
        </w:rPr>
        <w:t>920</w:t>
      </w:r>
      <w:r>
        <w:rPr>
          <w:rFonts w:hint="eastAsia" w:ascii="宋体" w:hAnsi="宋体" w:eastAsia="宋体" w:cs="宋体"/>
          <w:b/>
          <w:bCs/>
          <w:kern w:val="2"/>
          <w:sz w:val="21"/>
          <w:szCs w:val="21"/>
          <w:highlight w:val="none"/>
          <w:lang w:val="en-US" w:eastAsia="zh-CN"/>
        </w:rPr>
        <w:t xml:space="preserve"> 00</w:t>
      </w:r>
      <w:r>
        <w:rPr>
          <w:rFonts w:hint="eastAsia" w:cs="宋体"/>
          <w:b/>
          <w:bCs/>
          <w:kern w:val="2"/>
          <w:sz w:val="21"/>
          <w:szCs w:val="21"/>
          <w:highlight w:val="none"/>
          <w:lang w:val="en-US" w:eastAsia="zh-CN"/>
        </w:rPr>
        <w:t>34</w:t>
      </w:r>
      <w:r>
        <w:rPr>
          <w:rFonts w:hint="eastAsia" w:ascii="宋体" w:hAnsi="宋体" w:eastAsia="宋体" w:cs="宋体"/>
          <w:b/>
          <w:bCs/>
          <w:kern w:val="2"/>
          <w:sz w:val="21"/>
          <w:szCs w:val="21"/>
          <w:highlight w:val="none"/>
          <w:lang w:val="en-US" w:eastAsia="zh-CN"/>
        </w:rPr>
        <w:t xml:space="preserve"> 038</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汇款或转账时，报价方必须在付款凭证备注栏中注明</w:t>
      </w:r>
      <w:r>
        <w:rPr>
          <w:rFonts w:hint="eastAsia" w:ascii="宋体" w:hAnsi="宋体" w:eastAsia="宋体" w:cs="宋体"/>
          <w:b/>
          <w:bCs/>
          <w:sz w:val="21"/>
          <w:szCs w:val="21"/>
          <w:highlight w:val="none"/>
          <w:u w:val="single"/>
        </w:rPr>
        <w:t>“</w:t>
      </w:r>
      <w:r>
        <w:rPr>
          <w:rFonts w:hint="eastAsia" w:ascii="宋体" w:hAnsi="宋体" w:eastAsia="宋体" w:cs="宋体"/>
          <w:b/>
          <w:bCs/>
          <w:sz w:val="21"/>
          <w:szCs w:val="21"/>
          <w:highlight w:val="none"/>
          <w:u w:val="single"/>
          <w:lang w:val="en-US" w:eastAsia="zh-CN"/>
        </w:rPr>
        <w:t>卫生间隔断采购项目保证金</w:t>
      </w:r>
      <w:r>
        <w:rPr>
          <w:rFonts w:hint="eastAsia" w:ascii="宋体" w:hAnsi="宋体" w:eastAsia="宋体" w:cs="宋体"/>
          <w:b/>
          <w:bCs/>
          <w:sz w:val="21"/>
          <w:szCs w:val="21"/>
          <w:highlight w:val="none"/>
          <w:u w:val="single"/>
        </w:rPr>
        <w:t>”</w:t>
      </w:r>
      <w:r>
        <w:rPr>
          <w:rFonts w:hint="eastAsia" w:ascii="宋体" w:hAnsi="宋体" w:eastAsia="宋体" w:cs="宋体"/>
          <w:sz w:val="21"/>
          <w:szCs w:val="21"/>
          <w:highlight w:val="none"/>
        </w:rPr>
        <w:t>字样。保证金备注栏中必须明确所参与具体标段名称，因报价方未备注或错误备注而导致不能及时查验到账的，责任由报价方承担。若采用电汇（转账）形式，询价响应保证金必须由报价方的账户一次性汇入本询价文件所示账户，并在</w:t>
      </w:r>
      <w:r>
        <w:rPr>
          <w:rFonts w:hint="eastAsia" w:ascii="宋体" w:hAnsi="宋体" w:eastAsia="宋体" w:cs="宋体"/>
          <w:b/>
          <w:bCs/>
          <w:sz w:val="21"/>
          <w:szCs w:val="21"/>
          <w:highlight w:val="none"/>
          <w:u w:val="single"/>
        </w:rPr>
        <w:t>投标截止时间前一个小时到账，否则无效</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 xml:space="preserve">           </w:t>
      </w:r>
    </w:p>
    <w:p>
      <w:pPr>
        <w:pStyle w:val="6"/>
        <w:snapToGrid w:val="0"/>
        <w:spacing w:before="120" w:after="120" w:line="240" w:lineRule="auto"/>
        <w:ind w:firstLine="403"/>
        <w:rPr>
          <w:rFonts w:hint="eastAsia" w:ascii="Times New Roman" w:hAnsi="Times New Roman" w:eastAsia="黑体" w:cs="Times New Roman"/>
          <w:b w:val="0"/>
          <w:sz w:val="22"/>
          <w:szCs w:val="15"/>
          <w:highlight w:val="none"/>
        </w:rPr>
      </w:pPr>
      <w:r>
        <w:rPr>
          <w:rFonts w:hint="eastAsia" w:ascii="Times New Roman" w:hAnsi="Times New Roman" w:eastAsia="黑体" w:cs="Times New Roman"/>
          <w:b w:val="0"/>
          <w:sz w:val="22"/>
          <w:szCs w:val="15"/>
          <w:highlight w:val="none"/>
        </w:rPr>
        <w:t>发布公告的媒介</w:t>
      </w:r>
      <w:bookmarkEnd w:id="35"/>
      <w:bookmarkEnd w:id="36"/>
    </w:p>
    <w:p>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本次采购公告在</w:t>
      </w:r>
      <w:r>
        <w:rPr>
          <w:rFonts w:hint="eastAsia" w:ascii="宋体" w:hAnsi="宋体" w:eastAsia="宋体" w:cs="宋体"/>
          <w:b/>
          <w:bCs/>
          <w:sz w:val="21"/>
          <w:szCs w:val="21"/>
          <w:highlight w:val="none"/>
          <w:u w:val="single"/>
        </w:rPr>
        <w:t>“安徽</w:t>
      </w:r>
      <w:r>
        <w:rPr>
          <w:rFonts w:hint="eastAsia" w:ascii="宋体" w:hAnsi="宋体" w:eastAsia="宋体" w:cs="宋体"/>
          <w:b/>
          <w:bCs/>
          <w:sz w:val="21"/>
          <w:szCs w:val="21"/>
          <w:highlight w:val="none"/>
          <w:u w:val="single"/>
          <w:lang w:val="en-US" w:eastAsia="zh-CN"/>
        </w:rPr>
        <w:t>省经工建设集团有限公司</w:t>
      </w:r>
      <w:r>
        <w:rPr>
          <w:rFonts w:hint="eastAsia" w:ascii="宋体" w:hAnsi="宋体" w:eastAsia="宋体" w:cs="宋体"/>
          <w:b/>
          <w:bCs/>
          <w:sz w:val="21"/>
          <w:szCs w:val="21"/>
          <w:highlight w:val="none"/>
          <w:u w:val="single"/>
        </w:rPr>
        <w:t>网站（https://www.ahjggroup.com/）“</w:t>
      </w:r>
      <w:r>
        <w:rPr>
          <w:rFonts w:hint="eastAsia" w:ascii="宋体" w:hAnsi="宋体" w:eastAsia="宋体" w:cs="宋体"/>
          <w:b/>
          <w:bCs/>
          <w:sz w:val="21"/>
          <w:szCs w:val="21"/>
          <w:highlight w:val="none"/>
          <w:u w:val="single"/>
          <w:lang w:val="en-US" w:eastAsia="zh-CN"/>
        </w:rPr>
        <w:t>通知公告</w:t>
      </w:r>
      <w:r>
        <w:rPr>
          <w:rFonts w:hint="eastAsia" w:ascii="宋体" w:hAnsi="宋体" w:eastAsia="宋体" w:cs="宋体"/>
          <w:b/>
          <w:bCs/>
          <w:sz w:val="21"/>
          <w:szCs w:val="21"/>
          <w:highlight w:val="none"/>
          <w:u w:val="single"/>
        </w:rPr>
        <w:t>”栏</w:t>
      </w:r>
      <w:r>
        <w:rPr>
          <w:rFonts w:hint="eastAsia" w:ascii="宋体" w:hAnsi="宋体" w:eastAsia="宋体" w:cs="宋体"/>
          <w:sz w:val="21"/>
          <w:szCs w:val="21"/>
          <w:highlight w:val="none"/>
        </w:rPr>
        <w:t>上发布。</w:t>
      </w:r>
    </w:p>
    <w:p>
      <w:pPr>
        <w:pStyle w:val="6"/>
        <w:snapToGrid w:val="0"/>
        <w:spacing w:before="120" w:after="120" w:line="240" w:lineRule="auto"/>
        <w:ind w:firstLine="403"/>
        <w:rPr>
          <w:rFonts w:hint="eastAsia" w:ascii="宋体" w:hAnsi="宋体" w:eastAsia="宋体" w:cs="宋体"/>
          <w:b w:val="0"/>
          <w:sz w:val="21"/>
          <w:szCs w:val="21"/>
          <w:highlight w:val="none"/>
        </w:rPr>
      </w:pPr>
      <w:bookmarkStart w:id="37" w:name="_Toc28571_WPSOffice_Level2"/>
      <w:bookmarkStart w:id="38" w:name="_Toc8501"/>
      <w:bookmarkStart w:id="39" w:name="_Toc525632592"/>
      <w:bookmarkStart w:id="40" w:name="_Toc14943_WPSOffice_Level2"/>
      <w:bookmarkStart w:id="41" w:name="_Toc321_WPSOffice_Level2"/>
      <w:bookmarkStart w:id="42" w:name="_Toc26829"/>
      <w:bookmarkStart w:id="43" w:name="_Toc20572_WPSOffice_Level2"/>
      <w:r>
        <w:rPr>
          <w:rFonts w:hint="eastAsia" w:ascii="Times New Roman" w:hAnsi="Times New Roman" w:eastAsia="黑体" w:cs="Times New Roman"/>
          <w:b w:val="0"/>
          <w:sz w:val="22"/>
          <w:szCs w:val="15"/>
          <w:highlight w:val="none"/>
        </w:rPr>
        <w:t>采购人联系方式</w:t>
      </w:r>
      <w:bookmarkEnd w:id="37"/>
      <w:bookmarkEnd w:id="38"/>
      <w:bookmarkEnd w:id="39"/>
      <w:bookmarkEnd w:id="40"/>
      <w:bookmarkEnd w:id="41"/>
      <w:bookmarkEnd w:id="42"/>
      <w:bookmarkEnd w:id="43"/>
      <w:r>
        <w:rPr>
          <w:rFonts w:hint="eastAsia" w:ascii="Times New Roman" w:hAnsi="Times New Roman" w:eastAsia="黑体" w:cs="Times New Roman"/>
          <w:b w:val="0"/>
          <w:sz w:val="22"/>
          <w:szCs w:val="15"/>
          <w:highlight w:val="none"/>
          <w:lang w:val="en-US" w:eastAsia="zh-CN"/>
        </w:rPr>
        <w:t xml:space="preserve">     </w:t>
      </w:r>
      <w:r>
        <w:rPr>
          <w:rFonts w:hint="eastAsia" w:ascii="宋体" w:hAnsi="宋体" w:eastAsia="宋体" w:cs="宋体"/>
          <w:b w:val="0"/>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 购 人：</w:t>
      </w:r>
      <w:r>
        <w:rPr>
          <w:rFonts w:hint="eastAsia" w:ascii="宋体" w:hAnsi="宋体" w:eastAsia="宋体" w:cs="宋体"/>
          <w:kern w:val="2"/>
          <w:sz w:val="21"/>
          <w:szCs w:val="21"/>
          <w:highlight w:val="none"/>
        </w:rPr>
        <w:t>安徽</w:t>
      </w:r>
      <w:r>
        <w:rPr>
          <w:rFonts w:hint="eastAsia" w:ascii="宋体" w:hAnsi="宋体" w:eastAsia="宋体" w:cs="宋体"/>
          <w:kern w:val="2"/>
          <w:sz w:val="21"/>
          <w:szCs w:val="21"/>
          <w:highlight w:val="none"/>
          <w:lang w:val="en-US" w:eastAsia="zh-CN"/>
        </w:rPr>
        <w:t>省经工物资有限公司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地    址：</w:t>
      </w:r>
      <w:r>
        <w:rPr>
          <w:rFonts w:hint="eastAsia" w:ascii="宋体" w:hAnsi="宋体" w:eastAsia="宋体" w:cs="宋体"/>
          <w:kern w:val="2"/>
          <w:sz w:val="21"/>
          <w:szCs w:val="21"/>
          <w:highlight w:val="none"/>
        </w:rPr>
        <w:t>安徽省合肥市包河区西藏路1</w:t>
      </w:r>
      <w:r>
        <w:rPr>
          <w:rFonts w:hint="eastAsia" w:ascii="宋体" w:hAnsi="宋体" w:eastAsia="宋体" w:cs="宋体"/>
          <w:kern w:val="2"/>
          <w:sz w:val="21"/>
          <w:szCs w:val="21"/>
          <w:highlight w:val="none"/>
          <w:lang w:val="en-US" w:eastAsia="zh-CN"/>
        </w:rPr>
        <w:t>588</w:t>
      </w:r>
      <w:r>
        <w:rPr>
          <w:rFonts w:hint="eastAsia" w:ascii="宋体" w:hAnsi="宋体" w:eastAsia="宋体" w:cs="宋体"/>
          <w:kern w:val="2"/>
          <w:sz w:val="21"/>
          <w:szCs w:val="21"/>
          <w:highlight w:val="none"/>
        </w:rPr>
        <w:t>号高速时代广场C1栋</w:t>
      </w:r>
      <w:r>
        <w:rPr>
          <w:rFonts w:hint="eastAsia" w:ascii="宋体" w:hAnsi="宋体" w:eastAsia="宋体" w:cs="宋体"/>
          <w:kern w:val="2"/>
          <w:sz w:val="21"/>
          <w:szCs w:val="21"/>
          <w:highlight w:val="none"/>
          <w:lang w:val="en-US" w:eastAsia="zh-CN"/>
        </w:rPr>
        <w:t>1008室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邮政编码：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 系 人：</w:t>
      </w:r>
      <w:r>
        <w:rPr>
          <w:rFonts w:hint="eastAsia" w:ascii="宋体" w:hAnsi="宋体" w:eastAsia="宋体" w:cs="宋体"/>
          <w:sz w:val="21"/>
          <w:szCs w:val="21"/>
          <w:highlight w:val="none"/>
          <w:u w:val="single"/>
          <w:lang w:val="en-US" w:eastAsia="zh-CN"/>
        </w:rPr>
        <w:t xml:space="preserve">     周工、方工              </w:t>
      </w: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电    话：</w:t>
      </w:r>
      <w:r>
        <w:rPr>
          <w:rFonts w:hint="eastAsia" w:ascii="宋体" w:hAnsi="宋体" w:eastAsia="宋体" w:cs="宋体"/>
          <w:sz w:val="21"/>
          <w:szCs w:val="21"/>
          <w:highlight w:val="none"/>
          <w:u w:val="single"/>
          <w:lang w:val="en-US" w:eastAsia="zh-CN"/>
        </w:rPr>
        <w:t xml:space="preserve">   15855127123、15256002215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电子邮箱：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pStyle w:val="2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2023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11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17 </w:t>
      </w:r>
      <w:r>
        <w:rPr>
          <w:rFonts w:hint="eastAsia" w:ascii="宋体" w:hAnsi="宋体" w:eastAsia="宋体" w:cs="宋体"/>
          <w:color w:val="auto"/>
          <w:sz w:val="21"/>
          <w:szCs w:val="21"/>
          <w:highlight w:val="none"/>
        </w:rPr>
        <w:t>日</w:t>
      </w:r>
    </w:p>
    <w:p>
      <w:pPr>
        <w:rPr>
          <w:rFonts w:ascii="Times New Roman" w:hAnsi="Times New Roman" w:cs="Times New Roman"/>
          <w:sz w:val="24"/>
          <w:szCs w:val="28"/>
          <w:highlight w:val="none"/>
        </w:rPr>
      </w:pPr>
    </w:p>
    <w:p>
      <w:pPr>
        <w:rPr>
          <w:rFonts w:ascii="Times New Roman" w:hAnsi="Times New Roman" w:cs="Times New Roman"/>
          <w:sz w:val="24"/>
          <w:szCs w:val="28"/>
          <w:highlight w:val="none"/>
        </w:rPr>
      </w:pPr>
      <w:r>
        <w:rPr>
          <w:rFonts w:ascii="Times New Roman" w:hAnsi="Times New Roman" w:cs="Times New Roman"/>
          <w:sz w:val="24"/>
          <w:szCs w:val="28"/>
          <w:highlight w:val="none"/>
        </w:rPr>
        <w:br w:type="page"/>
      </w:r>
    </w:p>
    <w:p>
      <w:pPr>
        <w:pStyle w:val="5"/>
        <w:spacing w:before="312" w:after="312"/>
        <w:rPr>
          <w:rFonts w:ascii="Times New Roman" w:hAnsi="Times New Roman" w:eastAsia="宋体" w:cs="Times New Roman"/>
          <w:highlight w:val="none"/>
        </w:rPr>
      </w:pPr>
      <w:bookmarkStart w:id="44" w:name="_Toc29758"/>
      <w:r>
        <w:rPr>
          <w:rFonts w:ascii="Times New Roman" w:hAnsi="Times New Roman" w:eastAsia="宋体" w:cs="Times New Roman"/>
          <w:highlight w:val="none"/>
        </w:rPr>
        <w:t>供应商须知</w:t>
      </w:r>
      <w:bookmarkEnd w:id="44"/>
    </w:p>
    <w:p>
      <w:pPr>
        <w:spacing w:line="440" w:lineRule="exact"/>
        <w:jc w:val="center"/>
        <w:outlineLvl w:val="1"/>
        <w:rPr>
          <w:rFonts w:ascii="Times New Roman" w:hAnsi="Times New Roman" w:eastAsia="黑体" w:cs="Times New Roman"/>
          <w:sz w:val="28"/>
          <w:szCs w:val="28"/>
          <w:highlight w:val="none"/>
        </w:rPr>
      </w:pPr>
      <w:bookmarkStart w:id="45" w:name="_Toc29381_WPSOffice_Level2"/>
      <w:bookmarkStart w:id="46" w:name="_Toc16069"/>
      <w:bookmarkStart w:id="47" w:name="_Toc19501"/>
      <w:bookmarkStart w:id="48" w:name="_Toc55466811"/>
      <w:bookmarkStart w:id="49" w:name="_Toc26656928"/>
      <w:r>
        <w:rPr>
          <w:rFonts w:ascii="Times New Roman" w:hAnsi="Times New Roman" w:eastAsia="黑体" w:cs="Times New Roman"/>
          <w:sz w:val="28"/>
          <w:szCs w:val="28"/>
          <w:highlight w:val="none"/>
        </w:rPr>
        <w:t>供应商须知前附表</w:t>
      </w:r>
      <w:bookmarkEnd w:id="45"/>
      <w:bookmarkEnd w:id="46"/>
      <w:bookmarkEnd w:id="47"/>
      <w:bookmarkEnd w:id="48"/>
      <w:bookmarkEnd w:id="49"/>
    </w:p>
    <w:tbl>
      <w:tblPr>
        <w:tblStyle w:val="21"/>
        <w:tblW w:w="9181" w:type="dxa"/>
        <w:tblInd w:w="0" w:type="dxa"/>
        <w:tblLayout w:type="fixed"/>
        <w:tblCellMar>
          <w:top w:w="0" w:type="dxa"/>
          <w:left w:w="108" w:type="dxa"/>
          <w:bottom w:w="0" w:type="dxa"/>
          <w:right w:w="108" w:type="dxa"/>
        </w:tblCellMar>
      </w:tblPr>
      <w:tblGrid>
        <w:gridCol w:w="1000"/>
        <w:gridCol w:w="2572"/>
        <w:gridCol w:w="5609"/>
      </w:tblGrid>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条款号</w:t>
            </w:r>
          </w:p>
        </w:tc>
        <w:tc>
          <w:tcPr>
            <w:tcW w:w="2572"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条  款  名  称</w:t>
            </w:r>
          </w:p>
        </w:tc>
        <w:tc>
          <w:tcPr>
            <w:tcW w:w="560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line="480" w:lineRule="exact"/>
              <w:jc w:val="center"/>
              <w:rPr>
                <w:rFonts w:ascii="Times New Roman" w:hAnsi="Times New Roman" w:eastAsia="宋体" w:cs="Times New Roman"/>
                <w:b/>
                <w:szCs w:val="21"/>
                <w:highlight w:val="none"/>
              </w:rPr>
            </w:pPr>
            <w:r>
              <w:rPr>
                <w:rFonts w:ascii="Times New Roman" w:hAnsi="Times New Roman" w:eastAsia="宋体" w:cs="Times New Roman"/>
                <w:b/>
                <w:szCs w:val="21"/>
                <w:highlight w:val="none"/>
              </w:rPr>
              <w:t>编  列  内  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1.</w:t>
            </w:r>
            <w:r>
              <w:rPr>
                <w:rFonts w:hint="eastAsia" w:ascii="Times New Roman" w:hAnsi="Times New Roman" w:eastAsia="宋体" w:cs="Times New Roman"/>
                <w:szCs w:val="21"/>
                <w:highlight w:val="none"/>
              </w:rPr>
              <w:t>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质量要求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color w:val="000000" w:themeColor="text1"/>
                <w:kern w:val="0"/>
                <w:szCs w:val="21"/>
                <w:highlight w:val="none"/>
                <w14:textFill>
                  <w14:solidFill>
                    <w14:schemeClr w14:val="tx1"/>
                  </w14:solidFill>
                </w14:textFill>
              </w:rPr>
              <w:t>满足国家最新颁布的质量技术标准和本项目的特殊要求。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1.2.2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供应商其他资格要求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见第一章 采购公告/采购邀请书第3.1款要求。</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1.2.3</w:t>
            </w:r>
          </w:p>
        </w:tc>
        <w:tc>
          <w:tcPr>
            <w:tcW w:w="2572" w:type="dxa"/>
            <w:tcBorders>
              <w:top w:val="single" w:color="auto" w:sz="4" w:space="0"/>
              <w:left w:val="single" w:color="auto" w:sz="4" w:space="0"/>
              <w:bottom w:val="single" w:color="auto" w:sz="4" w:space="0"/>
              <w:right w:val="single" w:color="auto" w:sz="4" w:space="0"/>
            </w:tcBorders>
            <w:vAlign w:val="center"/>
          </w:tcPr>
          <w:p>
            <w:pPr>
              <w:ind w:left="105" w:leftChars="50"/>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lang w:eastAsia="zh-CN"/>
              </w:rPr>
              <w:t>供应商</w:t>
            </w:r>
            <w:r>
              <w:rPr>
                <w:rFonts w:hint="eastAsia" w:ascii="Times New Roman" w:hAnsi="Times New Roman" w:eastAsia="宋体" w:cs="Times New Roman"/>
                <w:szCs w:val="21"/>
                <w:highlight w:val="none"/>
              </w:rPr>
              <w:t>资质条件、能力、信誉</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资质条件：见附录1</w:t>
            </w:r>
          </w:p>
          <w:p>
            <w:pPr>
              <w:widowControl/>
              <w:spacing w:line="480" w:lineRule="exact"/>
              <w:jc w:val="left"/>
              <w:rPr>
                <w:rFonts w:hint="default" w:ascii="Times New Roman" w:hAnsi="Times New Roman" w:eastAsia="宋体" w:cs="Times New Roman"/>
                <w:color w:val="000000" w:themeColor="text1"/>
                <w:kern w:val="0"/>
                <w:szCs w:val="21"/>
                <w:highlight w:val="none"/>
                <w14:textFill>
                  <w14:solidFill>
                    <w14:schemeClr w14:val="tx1"/>
                  </w14:solidFill>
                </w14:textFill>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业绩要求：见附录2</w:t>
            </w:r>
          </w:p>
          <w:p>
            <w:pPr>
              <w:widowControl/>
              <w:spacing w:line="480" w:lineRule="exact"/>
              <w:jc w:val="left"/>
              <w:rPr>
                <w:rFonts w:hint="eastAsia" w:ascii="Times New Roman" w:hAnsi="Times New Roman" w:eastAsia="宋体" w:cs="Times New Roman"/>
                <w:kern w:val="0"/>
                <w:szCs w:val="21"/>
                <w:highlight w:val="none"/>
              </w:rPr>
            </w:pPr>
            <w:r>
              <w:rPr>
                <w:rFonts w:hint="default" w:ascii="Times New Roman" w:hAnsi="Times New Roman" w:eastAsia="宋体" w:cs="Times New Roman"/>
                <w:color w:val="000000" w:themeColor="text1"/>
                <w:kern w:val="0"/>
                <w:szCs w:val="21"/>
                <w:highlight w:val="none"/>
                <w14:textFill>
                  <w14:solidFill>
                    <w14:schemeClr w14:val="tx1"/>
                  </w14:solidFill>
                </w14:textFill>
              </w:rPr>
              <w:t>信誉要求：见附录3</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1.2.4</w:t>
            </w:r>
          </w:p>
        </w:tc>
        <w:tc>
          <w:tcPr>
            <w:tcW w:w="25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是否接受联合体投标</w:t>
            </w:r>
          </w:p>
        </w:tc>
        <w:tc>
          <w:tcPr>
            <w:tcW w:w="5609" w:type="dxa"/>
            <w:tcBorders>
              <w:top w:val="single" w:color="auto" w:sz="4" w:space="0"/>
              <w:left w:val="single" w:color="auto" w:sz="4" w:space="0"/>
              <w:bottom w:val="single" w:color="auto" w:sz="4" w:space="0"/>
              <w:right w:val="single" w:color="auto" w:sz="4" w:space="0"/>
            </w:tcBorders>
            <w:vAlign w:val="center"/>
          </w:tcPr>
          <w:p>
            <w:pPr>
              <w:ind w:left="42" w:leftChars="20" w:right="42" w:rightChars="20"/>
              <w:rPr>
                <w:rFonts w:hint="eastAsia" w:ascii="Times New Roman" w:hAnsi="Times New Roman" w:eastAsia="宋体" w:cs="Times New Roman"/>
                <w:kern w:val="0"/>
                <w:szCs w:val="21"/>
                <w:highlight w:val="none"/>
              </w:rPr>
            </w:pPr>
            <w:r>
              <w:rPr>
                <w:rFonts w:hint="eastAsia" w:ascii="Times New Roman" w:hAnsi="Times New Roman" w:eastAsia="宋体" w:cs="Times New Roman"/>
                <w:szCs w:val="21"/>
                <w:highlight w:val="none"/>
              </w:rPr>
              <w:t>不接受</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响应文件其他材料要求</w:t>
            </w:r>
          </w:p>
        </w:tc>
        <w:tc>
          <w:tcPr>
            <w:tcW w:w="5609"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4</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报价方式</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rPr>
            </w:pPr>
            <w:r>
              <w:rPr>
                <w:rFonts w:hint="eastAsia"/>
                <w:highlight w:val="none"/>
                <w:lang w:eastAsia="zh-CN"/>
              </w:rPr>
              <w:t>☑</w:t>
            </w:r>
            <w:r>
              <w:rPr>
                <w:rFonts w:hint="eastAsia" w:ascii="Times New Roman" w:hAnsi="Times New Roman" w:eastAsia="宋体" w:cs="Times New Roman"/>
                <w:szCs w:val="21"/>
                <w:highlight w:val="none"/>
              </w:rPr>
              <w:t>固定</w:t>
            </w:r>
            <w:r>
              <w:rPr>
                <w:rFonts w:ascii="Times New Roman" w:hAnsi="Times New Roman" w:eastAsia="宋体" w:cs="Times New Roman"/>
                <w:szCs w:val="21"/>
                <w:highlight w:val="none"/>
              </w:rPr>
              <w:t>单价</w:t>
            </w:r>
          </w:p>
          <w:p>
            <w:pPr>
              <w:spacing w:line="480" w:lineRule="exact"/>
              <w:rPr>
                <w:rFonts w:ascii="Times New Roman" w:hAnsi="Times New Roman" w:eastAsia="宋体" w:cs="Times New Roman"/>
                <w:szCs w:val="21"/>
                <w:highlight w:val="none"/>
              </w:rPr>
            </w:pPr>
            <w:r>
              <w:rPr>
                <w:rFonts w:hint="eastAsia"/>
                <w:highlight w:val="none"/>
                <w:lang w:eastAsia="zh-CN"/>
              </w:rPr>
              <w:t>□</w:t>
            </w:r>
            <w:r>
              <w:rPr>
                <w:rFonts w:hint="eastAsia" w:ascii="Times New Roman" w:hAnsi="Times New Roman" w:eastAsia="宋体" w:cs="Times New Roman"/>
                <w:szCs w:val="21"/>
                <w:highlight w:val="none"/>
              </w:rPr>
              <w:t>固定</w:t>
            </w:r>
            <w:r>
              <w:rPr>
                <w:rFonts w:ascii="Times New Roman" w:hAnsi="Times New Roman" w:eastAsia="宋体" w:cs="Times New Roman"/>
                <w:szCs w:val="21"/>
                <w:highlight w:val="none"/>
              </w:rPr>
              <w:t>总价</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3.2.</w:t>
            </w:r>
            <w:r>
              <w:rPr>
                <w:rFonts w:hint="eastAsia" w:ascii="Times New Roman" w:hAnsi="Times New Roman" w:eastAsia="宋体" w:cs="Times New Roman"/>
                <w:szCs w:val="21"/>
                <w:highlight w:val="none"/>
              </w:rPr>
              <w:t>5</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报价的其他要求</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无</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3.4.4</w:t>
            </w:r>
            <w:r>
              <w:rPr>
                <w:rFonts w:hint="eastAsia" w:ascii="Times New Roman" w:hAnsi="Times New Roman" w:eastAsia="宋体" w:cs="Times New Roman"/>
                <w:szCs w:val="21"/>
                <w:highlight w:val="none"/>
              </w:rPr>
              <w:t>（3）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cs="Times New Roman"/>
                <w:highlight w:val="none"/>
              </w:rPr>
              <w:t>其他不予退还响应保证金的情形</w:t>
            </w:r>
          </w:p>
        </w:tc>
        <w:tc>
          <w:tcPr>
            <w:tcW w:w="560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eastAsia" w:ascii="宋体" w:hAnsi="宋体" w:eastAsia="宋体" w:cs="宋体"/>
                <w:sz w:val="22"/>
                <w:szCs w:val="22"/>
                <w:highlight w:val="none"/>
              </w:rPr>
              <w:t>报</w:t>
            </w:r>
            <w:r>
              <w:rPr>
                <w:rFonts w:hint="eastAsia" w:ascii="宋体" w:hAnsi="宋体" w:eastAsia="宋体" w:cs="宋体"/>
                <w:sz w:val="21"/>
                <w:szCs w:val="21"/>
                <w:highlight w:val="none"/>
              </w:rPr>
              <w:t>价方出现以下情形的，其询价响应保证金将不予退还：</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报价方在规定的响应有效期内撤销其响应文件</w:t>
            </w:r>
            <w:r>
              <w:rPr>
                <w:rFonts w:hint="eastAsia" w:ascii="宋体" w:hAnsi="宋体" w:eastAsia="宋体" w:cs="宋体"/>
                <w:sz w:val="21"/>
                <w:szCs w:val="21"/>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sz w:val="21"/>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成交候选方无正当理由放弃成交资格的；或成交方无正当理由不与采购人签订合同的；或成交方在签订合同时向采购方提出附加条件或者更改合同实质性内容的；询价响应保证金按违约予以全额扣除。</w:t>
            </w:r>
          </w:p>
          <w:p>
            <w:pPr>
              <w:pStyle w:val="2"/>
              <w:keepNext w:val="0"/>
              <w:keepLines w:val="0"/>
              <w:pageBreakBefore w:val="0"/>
              <w:widowControl w:val="0"/>
              <w:kinsoku/>
              <w:wordWrap/>
              <w:overflowPunct/>
              <w:topLinePunct w:val="0"/>
              <w:autoSpaceDE/>
              <w:autoSpaceDN/>
              <w:bidi w:val="0"/>
              <w:adjustRightInd/>
              <w:snapToGrid/>
              <w:spacing w:after="0" w:line="440" w:lineRule="exact"/>
              <w:textAlignment w:val="auto"/>
              <w:rPr>
                <w:rFonts w:ascii="Times New Roman" w:hAnsi="Times New Roman" w:eastAsia="宋体" w:cs="Times New Roman"/>
                <w:szCs w:val="21"/>
                <w:highlight w:val="none"/>
              </w:rPr>
            </w:pPr>
            <w:r>
              <w:rPr>
                <w:rFonts w:hint="default"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w:t>
            </w:r>
            <w:r>
              <w:rPr>
                <w:rFonts w:hint="eastAsia" w:ascii="宋体" w:hAnsi="宋体" w:eastAsia="宋体" w:cs="宋体"/>
                <w:sz w:val="21"/>
                <w:szCs w:val="21"/>
                <w:highlight w:val="none"/>
              </w:rPr>
              <w:t>供应商存在以他人名义报价、与他人串通报价、以行贿手段谋取成交、弄虚作假等行为。</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3.6.3（2）</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cs="Times New Roman"/>
                <w:highlight w:val="none"/>
              </w:rPr>
            </w:pPr>
            <w:r>
              <w:rPr>
                <w:rFonts w:hint="eastAsia" w:ascii="Times New Roman" w:hAnsi="Times New Roman" w:cs="Times New Roman"/>
                <w:highlight w:val="none"/>
              </w:rPr>
              <w:t>响应文件副本份数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default" w:ascii="Times New Roman" w:hAnsi="Times New Roman" w:eastAsia="宋体" w:cs="Times New Roman"/>
                <w:szCs w:val="21"/>
                <w:highlight w:val="none"/>
                <w:u w:val="single"/>
                <w:lang w:val="en-US"/>
              </w:rPr>
            </w:pPr>
            <w:r>
              <w:rPr>
                <w:rFonts w:hint="eastAsia" w:ascii="Times New Roman" w:hAnsi="Times New Roman" w:cs="Times New Roman"/>
                <w:highlight w:val="none"/>
              </w:rPr>
              <w:t>响应文件应</w:t>
            </w:r>
            <w:r>
              <w:rPr>
                <w:rFonts w:hint="eastAsia" w:ascii="Times New Roman" w:hAnsi="Times New Roman" w:cs="Times New Roman"/>
                <w:b w:val="0"/>
                <w:bCs w:val="0"/>
                <w:highlight w:val="none"/>
              </w:rPr>
              <w:t>胶装成册</w:t>
            </w:r>
            <w:r>
              <w:rPr>
                <w:rFonts w:hint="eastAsia" w:ascii="Times New Roman" w:hAnsi="Times New Roman" w:cs="Times New Roman"/>
                <w:b/>
                <w:bCs/>
                <w:highlight w:val="none"/>
              </w:rPr>
              <w:t>，</w:t>
            </w:r>
            <w:r>
              <w:rPr>
                <w:rFonts w:ascii="Times New Roman" w:hAnsi="Times New Roman" w:cs="Times New Roman"/>
                <w:highlight w:val="none"/>
              </w:rPr>
              <w:t>正</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副本各</w:t>
            </w:r>
            <w:r>
              <w:rPr>
                <w:rFonts w:ascii="Times New Roman" w:hAnsi="Times New Roman" w:cs="Times New Roman"/>
                <w:highlight w:val="none"/>
              </w:rPr>
              <w:t>一份。</w:t>
            </w:r>
            <w:r>
              <w:rPr>
                <w:rFonts w:hint="eastAsia" w:ascii="Times New Roman" w:hAnsi="Times New Roman" w:cs="Times New Roman"/>
                <w:highlight w:val="none"/>
                <w:lang w:val="en-US" w:eastAsia="zh-CN"/>
              </w:rPr>
              <w:t xml:space="preserve">正副本内容不一致时，以正本为准。 </w:t>
            </w:r>
          </w:p>
        </w:tc>
      </w:tr>
      <w:tr>
        <w:tblPrEx>
          <w:tblCellMar>
            <w:top w:w="0" w:type="dxa"/>
            <w:left w:w="108" w:type="dxa"/>
            <w:bottom w:w="0" w:type="dxa"/>
            <w:right w:w="108" w:type="dxa"/>
          </w:tblCellMar>
        </w:tblPrEx>
        <w:trPr>
          <w:trHeight w:val="567" w:hRule="atLeast"/>
        </w:trPr>
        <w:tc>
          <w:tcPr>
            <w:tcW w:w="1000"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highlight w:val="none"/>
              </w:rPr>
            </w:pPr>
            <w:r>
              <w:rPr>
                <w:rFonts w:hint="eastAsia" w:ascii="Times New Roman" w:hAnsi="Times New Roman" w:cs="Times New Roman"/>
                <w:highlight w:val="none"/>
                <w:lang w:val="en-US" w:eastAsia="zh-CN"/>
              </w:rPr>
              <w:t>4.1</w:t>
            </w:r>
          </w:p>
        </w:tc>
        <w:tc>
          <w:tcPr>
            <w:tcW w:w="2572"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highlight w:val="none"/>
              </w:rPr>
            </w:pPr>
            <w:r>
              <w:rPr>
                <w:rFonts w:hint="eastAsia" w:ascii="Times New Roman" w:hAnsi="Times New Roman" w:cs="Times New Roman"/>
                <w:b/>
                <w:bCs/>
                <w:highlight w:val="none"/>
              </w:rPr>
              <w:t>响应文件的密封和标记</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rPr>
                <w:rFonts w:hint="eastAsia" w:ascii="Times New Roman" w:hAnsi="Times New Roman" w:cs="Times New Roman"/>
                <w:highlight w:val="none"/>
              </w:rPr>
            </w:pPr>
            <w:r>
              <w:rPr>
                <w:rFonts w:ascii="Times New Roman" w:hAnsi="Times New Roman" w:cs="Times New Roman"/>
                <w:highlight w:val="none"/>
              </w:rPr>
              <w:t>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w:t>
            </w:r>
            <w:r>
              <w:rPr>
                <w:rFonts w:hint="eastAsia" w:ascii="Times New Roman" w:hAnsi="Times New Roman" w:cs="Times New Roman"/>
                <w:highlight w:val="none"/>
                <w:lang w:val="en-US" w:eastAsia="zh-CN"/>
              </w:rPr>
              <w:t>第一信封（商务及技术文件）与第二信封（报价文件）分开密封。</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highlight w:val="none"/>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highlight w:val="none"/>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val="en-US" w:eastAsia="zh-CN"/>
              </w:rPr>
              <w:t>响应文件第一信封（商务及技术文件）</w:t>
            </w:r>
            <w:r>
              <w:rPr>
                <w:rFonts w:hint="eastAsia" w:ascii="Times New Roman" w:hAnsi="Times New Roman" w:cs="Times New Roman"/>
                <w:highlight w:val="none"/>
              </w:rPr>
              <w:t>封套上注明：</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none"/>
                <w:lang w:val="en-US" w:eastAsia="zh-CN"/>
              </w:rPr>
              <w:t>第一信封（商务及技术文件）</w:t>
            </w:r>
            <w:r>
              <w:rPr>
                <w:rFonts w:hint="eastAsia" w:ascii="Times New Roman" w:hAnsi="Times New Roman" w:eastAsia="黑体" w:cs="黑体"/>
                <w:bCs/>
                <w:snapToGrid w:val="0"/>
                <w:kern w:val="0"/>
                <w:szCs w:val="21"/>
                <w:highlight w:val="none"/>
              </w:rPr>
              <w:t>响应文件</w:t>
            </w:r>
          </w:p>
          <w:p>
            <w:pPr>
              <w:spacing w:line="440" w:lineRule="exact"/>
              <w:ind w:firstLine="420"/>
              <w:rPr>
                <w:rFonts w:hint="eastAsia" w:ascii="Times New Roman" w:hAnsi="Times New Roman" w:cs="Times New Roman"/>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分（递交响应文件的截止时间）前不得开启</w:t>
            </w:r>
          </w:p>
        </w:tc>
      </w:tr>
      <w:tr>
        <w:tblPrEx>
          <w:tblCellMar>
            <w:top w:w="0" w:type="dxa"/>
            <w:left w:w="108" w:type="dxa"/>
            <w:bottom w:w="0" w:type="dxa"/>
            <w:right w:w="108" w:type="dxa"/>
          </w:tblCellMar>
        </w:tblPrEx>
        <w:trPr>
          <w:trHeight w:val="567" w:hRule="atLeast"/>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eastAsia="宋体" w:cs="Times New Roman"/>
                <w:szCs w:val="21"/>
                <w:highlight w:val="none"/>
              </w:rPr>
            </w:pPr>
          </w:p>
        </w:tc>
        <w:tc>
          <w:tcPr>
            <w:tcW w:w="2572"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Times New Roman" w:hAnsi="Times New Roman" w:cs="Times New Roman"/>
                <w:highlight w:val="none"/>
              </w:rPr>
            </w:pPr>
          </w:p>
        </w:tc>
        <w:tc>
          <w:tcPr>
            <w:tcW w:w="5609"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val="en-US" w:eastAsia="zh-CN"/>
              </w:rPr>
              <w:t>响应文件第二信封（报价文件）</w:t>
            </w:r>
            <w:r>
              <w:rPr>
                <w:rFonts w:hint="eastAsia" w:ascii="Times New Roman" w:hAnsi="Times New Roman" w:cs="Times New Roman"/>
                <w:highlight w:val="none"/>
              </w:rPr>
              <w:t>封套上注明：</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none"/>
                <w:lang w:val="en-US" w:eastAsia="zh-CN"/>
              </w:rPr>
              <w:t>第二信封（报价文件）</w:t>
            </w:r>
            <w:r>
              <w:rPr>
                <w:rFonts w:hint="eastAsia" w:ascii="Times New Roman" w:hAnsi="Times New Roman" w:eastAsia="黑体" w:cs="黑体"/>
                <w:bCs/>
                <w:snapToGrid w:val="0"/>
                <w:kern w:val="0"/>
                <w:szCs w:val="21"/>
                <w:highlight w:val="none"/>
              </w:rPr>
              <w:t>响应文件</w:t>
            </w:r>
          </w:p>
          <w:p>
            <w:pPr>
              <w:spacing w:line="440" w:lineRule="exact"/>
              <w:ind w:firstLine="420" w:firstLineChars="200"/>
              <w:jc w:val="both"/>
              <w:rPr>
                <w:rFonts w:hint="eastAsia" w:ascii="Times New Roman" w:hAnsi="Times New Roman" w:cs="Times New Roman"/>
                <w:highlight w:val="none"/>
              </w:rPr>
            </w:pPr>
            <w:r>
              <w:rPr>
                <w:rFonts w:hint="eastAsia" w:ascii="Times New Roman" w:hAnsi="Times New Roman" w:eastAsia="黑体" w:cs="黑体"/>
                <w:bCs/>
                <w:snapToGrid w:val="0"/>
                <w:kern w:val="0"/>
                <w:szCs w:val="21"/>
                <w:highlight w:val="none"/>
                <w:lang w:val="en-US" w:eastAsia="zh-CN"/>
              </w:rPr>
              <w:t>在第一信封开启</w:t>
            </w:r>
            <w:r>
              <w:rPr>
                <w:rFonts w:hint="eastAsia" w:ascii="Times New Roman" w:hAnsi="Times New Roman" w:eastAsia="黑体" w:cs="黑体"/>
                <w:bCs/>
                <w:snapToGrid w:val="0"/>
                <w:kern w:val="0"/>
                <w:szCs w:val="21"/>
                <w:highlight w:val="none"/>
              </w:rPr>
              <w:t>前不得开启</w:t>
            </w:r>
          </w:p>
        </w:tc>
      </w:tr>
      <w:tr>
        <w:tblPrEx>
          <w:tblCellMar>
            <w:top w:w="0" w:type="dxa"/>
            <w:left w:w="108" w:type="dxa"/>
            <w:bottom w:w="0" w:type="dxa"/>
            <w:right w:w="108" w:type="dxa"/>
          </w:tblCellMar>
        </w:tblPrEx>
        <w:trPr>
          <w:trHeight w:val="570"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5.2.1（3）</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启封公布的其他内容</w:t>
            </w:r>
          </w:p>
        </w:tc>
        <w:tc>
          <w:tcPr>
            <w:tcW w:w="560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无</w:t>
            </w:r>
          </w:p>
        </w:tc>
      </w:tr>
      <w:tr>
        <w:tblPrEx>
          <w:tblCellMar>
            <w:top w:w="0" w:type="dxa"/>
            <w:left w:w="108" w:type="dxa"/>
            <w:bottom w:w="0" w:type="dxa"/>
            <w:right w:w="108" w:type="dxa"/>
          </w:tblCellMar>
        </w:tblPrEx>
        <w:trPr>
          <w:trHeight w:val="916"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7.4.1</w:t>
            </w:r>
          </w:p>
        </w:tc>
        <w:tc>
          <w:tcPr>
            <w:tcW w:w="257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eastAsia="宋体" w:cs="Times New Roman"/>
                <w:szCs w:val="21"/>
                <w:highlight w:val="none"/>
              </w:rPr>
            </w:pPr>
            <w:r>
              <w:rPr>
                <w:rFonts w:ascii="Times New Roman" w:hAnsi="Times New Roman" w:eastAsia="宋体" w:cs="Times New Roman"/>
                <w:szCs w:val="21"/>
                <w:highlight w:val="none"/>
              </w:rPr>
              <w:t>履约保证金</w:t>
            </w:r>
          </w:p>
        </w:tc>
        <w:tc>
          <w:tcPr>
            <w:tcW w:w="560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（1）中标后，响应保证金自动转为履约保证金。</w:t>
            </w:r>
          </w:p>
          <w:p>
            <w:pPr>
              <w:snapToGrid w:val="0"/>
              <w:spacing w:line="480" w:lineRule="exact"/>
              <w:rPr>
                <w:highlight w:val="none"/>
              </w:rPr>
            </w:pPr>
            <w:r>
              <w:rPr>
                <w:rFonts w:hint="eastAsia" w:ascii="宋体" w:hAnsi="宋体" w:eastAsia="宋体" w:cs="宋体"/>
                <w:kern w:val="2"/>
                <w:sz w:val="21"/>
                <w:szCs w:val="21"/>
                <w:highlight w:val="none"/>
                <w:lang w:val="en-US" w:eastAsia="zh-CN" w:bidi="ar-SA"/>
              </w:rPr>
              <w:t>（2）履约保证金退还时间：该项目物资供应完成后28天内。</w:t>
            </w:r>
          </w:p>
        </w:tc>
      </w:tr>
      <w:tr>
        <w:tblPrEx>
          <w:tblCellMar>
            <w:top w:w="0" w:type="dxa"/>
            <w:left w:w="108" w:type="dxa"/>
            <w:bottom w:w="0" w:type="dxa"/>
            <w:right w:w="108" w:type="dxa"/>
          </w:tblCellMar>
        </w:tblPrEx>
        <w:trPr>
          <w:trHeight w:val="640" w:hRule="atLeast"/>
        </w:trPr>
        <w:tc>
          <w:tcPr>
            <w:tcW w:w="918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Times New Roman" w:hAnsi="Times New Roman" w:eastAsia="宋体" w:cs="Times New Roman"/>
                <w:szCs w:val="21"/>
                <w:highlight w:val="none"/>
              </w:rPr>
            </w:pP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需要补充的其他内容</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9.1</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ind w:firstLine="420" w:firstLineChars="200"/>
              <w:rPr>
                <w:rFonts w:hint="eastAsia"/>
                <w:highlight w:val="none"/>
                <w:lang w:val="en-US" w:eastAsia="zh-CN"/>
              </w:rPr>
            </w:pPr>
            <w:r>
              <w:rPr>
                <w:rFonts w:hint="eastAsia"/>
                <w:highlight w:val="none"/>
                <w:lang w:val="en-US" w:eastAsia="zh-CN"/>
              </w:rPr>
              <w:t>投标人或其他利害关系人对评标结果有异议的，应以书面形式提出，异议材料应包括：</w:t>
            </w:r>
          </w:p>
          <w:p>
            <w:pPr>
              <w:snapToGrid w:val="0"/>
              <w:spacing w:line="480" w:lineRule="exact"/>
              <w:rPr>
                <w:rFonts w:hint="eastAsia"/>
                <w:highlight w:val="none"/>
                <w:lang w:val="en-US" w:eastAsia="zh-CN"/>
              </w:rPr>
            </w:pPr>
            <w:r>
              <w:rPr>
                <w:rFonts w:hint="eastAsia"/>
                <w:highlight w:val="none"/>
                <w:lang w:val="en-US" w:eastAsia="zh-CN"/>
              </w:rPr>
              <w:t>（1）异议人的名称、地址及有效联系方式；</w:t>
            </w:r>
          </w:p>
          <w:p>
            <w:pPr>
              <w:snapToGrid w:val="0"/>
              <w:spacing w:line="480" w:lineRule="exact"/>
              <w:rPr>
                <w:rFonts w:hint="eastAsia"/>
                <w:highlight w:val="none"/>
                <w:lang w:val="en-US" w:eastAsia="zh-CN"/>
              </w:rPr>
            </w:pPr>
            <w:r>
              <w:rPr>
                <w:rFonts w:hint="eastAsia"/>
                <w:highlight w:val="none"/>
                <w:lang w:val="en-US" w:eastAsia="zh-CN"/>
              </w:rPr>
              <w:t>（2）异议事项的基本事实；</w:t>
            </w:r>
          </w:p>
          <w:p>
            <w:pPr>
              <w:snapToGrid w:val="0"/>
              <w:spacing w:line="480" w:lineRule="exact"/>
              <w:rPr>
                <w:rFonts w:hint="eastAsia"/>
                <w:highlight w:val="none"/>
                <w:lang w:val="en-US" w:eastAsia="zh-CN"/>
              </w:rPr>
            </w:pPr>
            <w:r>
              <w:rPr>
                <w:rFonts w:hint="eastAsia"/>
                <w:highlight w:val="none"/>
                <w:lang w:val="en-US" w:eastAsia="zh-CN"/>
              </w:rPr>
              <w:t>（3）有效线索和相关证明材料。</w:t>
            </w:r>
          </w:p>
          <w:p>
            <w:pPr>
              <w:snapToGrid w:val="0"/>
              <w:spacing w:line="480" w:lineRule="exact"/>
              <w:ind w:firstLine="420" w:firstLineChars="200"/>
              <w:rPr>
                <w:rFonts w:hint="eastAsia" w:ascii="Times New Roman" w:hAnsi="Times New Roman" w:eastAsia="宋体" w:cs="Times New Roman"/>
                <w:szCs w:val="21"/>
                <w:highlight w:val="none"/>
                <w:lang w:val="en-US" w:eastAsia="zh-CN"/>
              </w:rPr>
            </w:pPr>
            <w:r>
              <w:rPr>
                <w:rFonts w:hint="eastAsia"/>
                <w:highlight w:val="none"/>
                <w:lang w:val="en-US" w:eastAsia="zh-CN"/>
              </w:rPr>
              <w:t>异议人是法人的，异议材料必须由其法定代表人或者授权代表签字并盖章；其他组织或者个人提出异议的，异议材料必须由其主要负责人或者异议本人签字，并附有效身份证明复印件。</w:t>
            </w:r>
          </w:p>
        </w:tc>
      </w:tr>
      <w:tr>
        <w:tblPrEx>
          <w:tblCellMar>
            <w:top w:w="0" w:type="dxa"/>
            <w:left w:w="108" w:type="dxa"/>
            <w:bottom w:w="0" w:type="dxa"/>
            <w:right w:w="108" w:type="dxa"/>
          </w:tblCellMar>
        </w:tblPrEx>
        <w:trPr>
          <w:trHeight w:val="567"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eastAsia="宋体" w:cs="Times New Roman"/>
                <w:szCs w:val="21"/>
                <w:highlight w:val="none"/>
                <w:lang w:val="en-US" w:eastAsia="zh-CN"/>
              </w:rPr>
            </w:pPr>
            <w:r>
              <w:rPr>
                <w:rFonts w:hint="eastAsia" w:ascii="Times New Roman" w:hAnsi="Times New Roman" w:eastAsia="宋体" w:cs="Times New Roman"/>
                <w:szCs w:val="21"/>
                <w:highlight w:val="none"/>
                <w:lang w:val="en-US" w:eastAsia="zh-CN"/>
              </w:rPr>
              <w:t>9.2</w:t>
            </w:r>
          </w:p>
        </w:tc>
        <w:tc>
          <w:tcPr>
            <w:tcW w:w="8181"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hint="eastAsia"/>
                <w:highlight w:val="none"/>
                <w:lang w:val="en-US" w:eastAsia="zh-CN"/>
              </w:rPr>
            </w:pPr>
            <w:r>
              <w:rPr>
                <w:rFonts w:hint="eastAsia"/>
                <w:b/>
                <w:bCs/>
                <w:highlight w:val="none"/>
                <w:lang w:val="en-US" w:eastAsia="zh-CN"/>
              </w:rPr>
              <w:t>一、如在约定的供货期限内达不到招标人要求的供货数量：</w:t>
            </w:r>
          </w:p>
          <w:p>
            <w:pPr>
              <w:snapToGrid w:val="0"/>
              <w:spacing w:line="480" w:lineRule="exact"/>
              <w:rPr>
                <w:rFonts w:hint="eastAsia"/>
                <w:highlight w:val="none"/>
                <w:lang w:val="en-US" w:eastAsia="zh-CN"/>
              </w:rPr>
            </w:pPr>
            <w:r>
              <w:rPr>
                <w:rFonts w:hint="eastAsia"/>
                <w:highlight w:val="none"/>
                <w:lang w:val="en-US" w:eastAsia="zh-CN"/>
              </w:rPr>
              <w:t>1.采购人人有权终止合同，并依据合同规定追究法律责任。</w:t>
            </w:r>
          </w:p>
          <w:p>
            <w:pPr>
              <w:snapToGrid w:val="0"/>
              <w:spacing w:line="480" w:lineRule="exact"/>
              <w:rPr>
                <w:rFonts w:hint="eastAsia"/>
                <w:highlight w:val="none"/>
                <w:lang w:val="en-US" w:eastAsia="zh-CN"/>
              </w:rPr>
            </w:pPr>
            <w:r>
              <w:rPr>
                <w:rFonts w:hint="eastAsia"/>
                <w:highlight w:val="none"/>
                <w:lang w:val="en-US" w:eastAsia="zh-CN"/>
              </w:rPr>
              <w:t>2.采购人有权将违约行为有权按照约定进行处罚。</w:t>
            </w:r>
          </w:p>
          <w:p>
            <w:pPr>
              <w:snapToGrid w:val="0"/>
              <w:spacing w:line="480" w:lineRule="exact"/>
              <w:rPr>
                <w:rFonts w:hint="eastAsia"/>
                <w:b/>
                <w:bCs/>
                <w:highlight w:val="none"/>
                <w:lang w:val="en-US" w:eastAsia="zh-CN"/>
              </w:rPr>
            </w:pPr>
            <w:r>
              <w:rPr>
                <w:rFonts w:hint="eastAsia"/>
                <w:b/>
                <w:bCs/>
                <w:highlight w:val="none"/>
                <w:lang w:val="en-US" w:eastAsia="zh-CN"/>
              </w:rPr>
              <w:t>二、异常低价，采购人有权做废标处理。</w:t>
            </w:r>
          </w:p>
          <w:p>
            <w:pPr>
              <w:snapToGrid w:val="0"/>
              <w:spacing w:line="480" w:lineRule="exact"/>
              <w:rPr>
                <w:rFonts w:hint="eastAsia"/>
                <w:b/>
                <w:bCs/>
                <w:highlight w:val="none"/>
                <w:lang w:val="en-US" w:eastAsia="zh-CN"/>
              </w:rPr>
            </w:pPr>
            <w:r>
              <w:rPr>
                <w:rFonts w:hint="eastAsia"/>
                <w:b/>
                <w:bCs/>
                <w:highlight w:val="none"/>
                <w:lang w:val="en-US" w:eastAsia="zh-CN"/>
              </w:rPr>
              <w:t>三、注意事项</w:t>
            </w:r>
          </w:p>
          <w:p>
            <w:pPr>
              <w:pStyle w:val="27"/>
              <w:keepNext w:val="0"/>
              <w:keepLines w:val="0"/>
              <w:pageBreakBefore w:val="0"/>
              <w:widowControl w:val="0"/>
              <w:numPr>
                <w:ilvl w:val="0"/>
                <w:numId w:val="3"/>
              </w:numPr>
              <w:kinsoku/>
              <w:wordWrap/>
              <w:overflowPunct/>
              <w:topLinePunct w:val="0"/>
              <w:bidi w:val="0"/>
              <w:adjustRightInd/>
              <w:snapToGrid/>
              <w:spacing w:line="400" w:lineRule="exact"/>
              <w:textAlignment w:val="auto"/>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制造商的授权代理商参加询比的，须提供代理证书或品牌授权书原件，授权书上需有品牌官方电话以备查，中标后采购人将组织到厂家实地考察。</w:t>
            </w:r>
          </w:p>
          <w:p>
            <w:pPr>
              <w:pStyle w:val="27"/>
              <w:keepNext w:val="0"/>
              <w:keepLines w:val="0"/>
              <w:pageBreakBefore w:val="0"/>
              <w:widowControl w:val="0"/>
              <w:numPr>
                <w:ilvl w:val="0"/>
                <w:numId w:val="3"/>
              </w:numPr>
              <w:kinsoku/>
              <w:wordWrap/>
              <w:overflowPunct/>
              <w:topLinePunct w:val="0"/>
              <w:bidi w:val="0"/>
              <w:adjustRightInd/>
              <w:snapToGrid/>
              <w:spacing w:line="400" w:lineRule="exact"/>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Theme="minorHAnsi" w:hAnsiTheme="minorHAnsi" w:eastAsiaTheme="minorEastAsia" w:cstheme="minorBidi"/>
                <w:kern w:val="2"/>
                <w:sz w:val="21"/>
                <w:szCs w:val="24"/>
                <w:highlight w:val="none"/>
                <w:lang w:val="en-US" w:eastAsia="zh-CN" w:bidi="ar-SA"/>
              </w:rPr>
              <w:t>二次图纸深化设计及现场尺寸测量、排版下料费用含在总报价内</w:t>
            </w:r>
            <w:r>
              <w:rPr>
                <w:rFonts w:hint="eastAsia" w:cstheme="minorBidi"/>
                <w:kern w:val="2"/>
                <w:sz w:val="21"/>
                <w:szCs w:val="24"/>
                <w:highlight w:val="none"/>
                <w:lang w:val="en-US" w:eastAsia="zh-CN" w:bidi="ar-SA"/>
              </w:rPr>
              <w:t>。</w:t>
            </w:r>
          </w:p>
          <w:p>
            <w:pPr>
              <w:pStyle w:val="2"/>
              <w:keepNext w:val="0"/>
              <w:keepLines w:val="0"/>
              <w:pageBreakBefore w:val="0"/>
              <w:widowControl w:val="0"/>
              <w:numPr>
                <w:ilvl w:val="0"/>
                <w:numId w:val="3"/>
              </w:numPr>
              <w:kinsoku/>
              <w:wordWrap/>
              <w:overflowPunct/>
              <w:topLinePunct w:val="0"/>
              <w:bidi w:val="0"/>
              <w:adjustRightInd/>
              <w:snapToGrid/>
              <w:spacing w:line="400" w:lineRule="exact"/>
              <w:ind w:left="0" w:leftChars="0" w:firstLine="0" w:firstLineChars="0"/>
              <w:textAlignment w:val="auto"/>
              <w:rPr>
                <w:rFonts w:hint="default"/>
                <w:highlight w:val="none"/>
                <w:lang w:val="en-US" w:eastAsia="zh-CN"/>
              </w:rPr>
            </w:pPr>
            <w:r>
              <w:rPr>
                <w:rFonts w:hint="eastAsia" w:asciiTheme="minorHAnsi" w:hAnsiTheme="minorHAnsi" w:eastAsiaTheme="minorEastAsia" w:cstheme="minorBidi"/>
                <w:kern w:val="2"/>
                <w:sz w:val="21"/>
                <w:szCs w:val="24"/>
                <w:highlight w:val="none"/>
                <w:lang w:val="en-US" w:eastAsia="zh-CN" w:bidi="ar-SA"/>
              </w:rPr>
              <w:t>厂家需充分熟悉图纸、现场情况后报价，后期不能以</w:t>
            </w:r>
            <w:r>
              <w:rPr>
                <w:rFonts w:hint="eastAsia" w:cstheme="minorBidi"/>
                <w:kern w:val="2"/>
                <w:sz w:val="21"/>
                <w:szCs w:val="24"/>
                <w:highlight w:val="none"/>
                <w:lang w:val="en-US" w:eastAsia="zh-CN" w:bidi="ar-SA"/>
              </w:rPr>
              <w:t>卫生间隔断</w:t>
            </w:r>
            <w:r>
              <w:rPr>
                <w:rFonts w:hint="eastAsia" w:asciiTheme="minorHAnsi" w:hAnsiTheme="minorHAnsi" w:eastAsiaTheme="minorEastAsia" w:cstheme="minorBidi"/>
                <w:kern w:val="2"/>
                <w:sz w:val="21"/>
                <w:szCs w:val="24"/>
                <w:highlight w:val="none"/>
                <w:lang w:val="en-US" w:eastAsia="zh-CN" w:bidi="ar-SA"/>
              </w:rPr>
              <w:t>造型复杂、颜色等情况要求增加费用。</w:t>
            </w:r>
          </w:p>
          <w:p>
            <w:pPr>
              <w:pStyle w:val="3"/>
              <w:numPr>
                <w:ilvl w:val="0"/>
                <w:numId w:val="3"/>
              </w:numPr>
              <w:ind w:left="0" w:leftChars="0" w:firstLine="0" w:firstLineChars="0"/>
              <w:rPr>
                <w:rFonts w:hint="default"/>
                <w:highlight w:val="none"/>
                <w:lang w:val="en-US" w:eastAsia="zh-CN"/>
              </w:rPr>
            </w:pPr>
            <w:r>
              <w:rPr>
                <w:rFonts w:hint="eastAsia" w:asciiTheme="minorHAnsi" w:hAnsiTheme="minorHAnsi" w:eastAsiaTheme="minorEastAsia" w:cstheme="minorBidi"/>
                <w:kern w:val="2"/>
                <w:sz w:val="21"/>
                <w:szCs w:val="24"/>
                <w:highlight w:val="yellow"/>
                <w:lang w:val="en-US" w:eastAsia="zh-CN" w:bidi="ar-SA"/>
              </w:rPr>
              <w:t>如提供虚假</w:t>
            </w:r>
            <w:r>
              <w:rPr>
                <w:rFonts w:hint="eastAsia" w:cstheme="minorBidi"/>
                <w:kern w:val="2"/>
                <w:sz w:val="21"/>
                <w:szCs w:val="24"/>
                <w:highlight w:val="yellow"/>
                <w:lang w:val="en-US" w:eastAsia="zh-CN" w:bidi="ar-SA"/>
              </w:rPr>
              <w:t>响应</w:t>
            </w:r>
            <w:r>
              <w:rPr>
                <w:rFonts w:hint="eastAsia" w:asciiTheme="minorHAnsi" w:hAnsiTheme="minorHAnsi" w:eastAsiaTheme="minorEastAsia" w:cstheme="minorBidi"/>
                <w:kern w:val="2"/>
                <w:sz w:val="21"/>
                <w:szCs w:val="24"/>
                <w:highlight w:val="yellow"/>
                <w:lang w:val="en-US" w:eastAsia="zh-CN" w:bidi="ar-SA"/>
              </w:rPr>
              <w:t>资料</w:t>
            </w:r>
            <w:r>
              <w:rPr>
                <w:rFonts w:hint="eastAsia" w:cstheme="minorBidi"/>
                <w:kern w:val="2"/>
                <w:sz w:val="21"/>
                <w:szCs w:val="24"/>
                <w:highlight w:val="yellow"/>
                <w:lang w:val="en-US" w:eastAsia="zh-CN" w:bidi="ar-SA"/>
              </w:rPr>
              <w:t>，</w:t>
            </w:r>
            <w:r>
              <w:rPr>
                <w:rFonts w:hint="eastAsia" w:asciiTheme="minorHAnsi" w:hAnsiTheme="minorHAnsi" w:eastAsiaTheme="minorEastAsia" w:cstheme="minorBidi"/>
                <w:kern w:val="2"/>
                <w:sz w:val="21"/>
                <w:szCs w:val="24"/>
                <w:highlight w:val="yellow"/>
                <w:lang w:val="en-US" w:eastAsia="zh-CN" w:bidi="ar-SA"/>
              </w:rPr>
              <w:t>没收投标保证金</w:t>
            </w:r>
            <w:r>
              <w:rPr>
                <w:rFonts w:hint="eastAsia" w:cstheme="minorBidi"/>
                <w:kern w:val="2"/>
                <w:sz w:val="21"/>
                <w:szCs w:val="24"/>
                <w:highlight w:val="yellow"/>
                <w:lang w:val="en-US" w:eastAsia="zh-CN" w:bidi="ar-SA"/>
              </w:rPr>
              <w:t>。</w:t>
            </w:r>
          </w:p>
        </w:tc>
      </w:tr>
    </w:tbl>
    <w:p>
      <w:pPr>
        <w:rPr>
          <w:highlight w:val="none"/>
        </w:rPr>
      </w:pPr>
      <w:r>
        <w:rPr>
          <w:rFonts w:hint="eastAsia" w:ascii="Times New Roman" w:hAnsi="Times New Roman" w:cs="Times New Roman"/>
          <w:szCs w:val="21"/>
          <w:highlight w:val="none"/>
        </w:rPr>
        <w:t>注：供应商须知正文</w:t>
      </w:r>
      <w:r>
        <w:rPr>
          <w:rFonts w:ascii="Times New Roman" w:hAnsi="Times New Roman" w:cs="Times New Roman"/>
          <w:szCs w:val="21"/>
          <w:highlight w:val="none"/>
        </w:rPr>
        <w:t>与前附表</w:t>
      </w:r>
      <w:r>
        <w:rPr>
          <w:rFonts w:hint="eastAsia" w:ascii="Times New Roman" w:hAnsi="Times New Roman" w:cs="Times New Roman"/>
          <w:szCs w:val="21"/>
          <w:highlight w:val="none"/>
        </w:rPr>
        <w:t>内容</w:t>
      </w:r>
      <w:r>
        <w:rPr>
          <w:rFonts w:ascii="Times New Roman" w:hAnsi="Times New Roman" w:cs="Times New Roman"/>
          <w:szCs w:val="21"/>
          <w:highlight w:val="none"/>
        </w:rPr>
        <w:t>不一致</w:t>
      </w:r>
      <w:r>
        <w:rPr>
          <w:rFonts w:hint="eastAsia" w:ascii="Times New Roman" w:hAnsi="Times New Roman" w:cs="Times New Roman"/>
          <w:szCs w:val="21"/>
          <w:highlight w:val="none"/>
        </w:rPr>
        <w:t>时</w:t>
      </w:r>
      <w:r>
        <w:rPr>
          <w:rFonts w:ascii="Times New Roman" w:hAnsi="Times New Roman" w:cs="Times New Roman"/>
          <w:szCs w:val="21"/>
          <w:highlight w:val="none"/>
        </w:rPr>
        <w:t>，以供应商</w:t>
      </w:r>
      <w:r>
        <w:rPr>
          <w:rFonts w:hint="eastAsia" w:ascii="Times New Roman" w:hAnsi="Times New Roman" w:cs="Times New Roman"/>
          <w:szCs w:val="21"/>
          <w:highlight w:val="none"/>
        </w:rPr>
        <w:t>须知</w:t>
      </w:r>
      <w:r>
        <w:rPr>
          <w:rFonts w:ascii="Times New Roman" w:hAnsi="Times New Roman" w:cs="Times New Roman"/>
          <w:szCs w:val="21"/>
          <w:highlight w:val="none"/>
        </w:rPr>
        <w:t>前附表</w:t>
      </w:r>
      <w:r>
        <w:rPr>
          <w:rFonts w:hint="eastAsia" w:ascii="Times New Roman" w:hAnsi="Times New Roman" w:cs="Times New Roman"/>
          <w:szCs w:val="21"/>
          <w:highlight w:val="none"/>
        </w:rPr>
        <w:t>的</w:t>
      </w:r>
      <w:r>
        <w:rPr>
          <w:rFonts w:ascii="Times New Roman" w:hAnsi="Times New Roman" w:cs="Times New Roman"/>
          <w:szCs w:val="21"/>
          <w:highlight w:val="none"/>
        </w:rPr>
        <w:t>内容为准</w:t>
      </w:r>
      <w:r>
        <w:rPr>
          <w:rFonts w:hint="eastAsia" w:ascii="Times New Roman" w:hAnsi="Times New Roman" w:cs="Times New Roman"/>
          <w:szCs w:val="21"/>
          <w:highlight w:val="none"/>
        </w:rPr>
        <w:t>。</w:t>
      </w:r>
    </w:p>
    <w:p>
      <w:pPr>
        <w:rPr>
          <w:rFonts w:ascii="Times New Roman" w:hAnsi="Times New Roman" w:eastAsia="黑体" w:cs="Times New Roman"/>
          <w:bCs/>
          <w:sz w:val="24"/>
          <w:szCs w:val="32"/>
          <w:highlight w:val="none"/>
        </w:rPr>
      </w:pPr>
      <w:bookmarkStart w:id="50" w:name="_Toc14201207"/>
      <w:bookmarkStart w:id="51" w:name="_Toc9067720"/>
      <w:bookmarkStart w:id="52" w:name="_Toc26656938"/>
      <w:r>
        <w:rPr>
          <w:rFonts w:ascii="Times New Roman" w:hAnsi="Times New Roman" w:eastAsia="黑体" w:cs="Times New Roman"/>
          <w:bCs/>
          <w:sz w:val="24"/>
          <w:szCs w:val="32"/>
          <w:highlight w:val="none"/>
        </w:rPr>
        <w:br w:type="page"/>
      </w:r>
    </w:p>
    <w:p>
      <w:pPr>
        <w:jc w:val="center"/>
        <w:rPr>
          <w:highlight w:val="none"/>
        </w:rPr>
      </w:pPr>
      <w:r>
        <w:rPr>
          <w:rFonts w:hint="eastAsia" w:ascii="黑体" w:eastAsia="黑体"/>
          <w:sz w:val="24"/>
          <w:szCs w:val="24"/>
          <w:highlight w:val="none"/>
        </w:rPr>
        <w:t>附录1 资格审查条件（资质最低条件）</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jc w:val="center"/>
        </w:trPr>
        <w:tc>
          <w:tcPr>
            <w:tcW w:w="9072" w:type="dxa"/>
            <w:noWrap w:val="0"/>
            <w:vAlign w:val="center"/>
          </w:tcPr>
          <w:p>
            <w:pPr>
              <w:jc w:val="center"/>
              <w:rPr>
                <w:sz w:val="22"/>
                <w:szCs w:val="22"/>
                <w:highlight w:val="none"/>
              </w:rPr>
            </w:pPr>
            <w:r>
              <w:rPr>
                <w:rFonts w:hint="eastAsia"/>
                <w:sz w:val="22"/>
                <w:szCs w:val="22"/>
                <w:highlight w:val="none"/>
              </w:rPr>
              <w:t>企业资质等级要求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72"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sz w:val="21"/>
                <w:szCs w:val="21"/>
                <w:highlight w:val="none"/>
                <w:lang w:val="en-US" w:eastAsia="zh-CN"/>
              </w:rPr>
            </w:pPr>
            <w:r>
              <w:rPr>
                <w:rFonts w:hint="eastAsia"/>
                <w:sz w:val="21"/>
                <w:szCs w:val="21"/>
                <w:highlight w:val="none"/>
                <w:lang w:val="en-US" w:eastAsia="zh-CN"/>
              </w:rPr>
              <w:t>1.具备独立法人资格，持有有效的营业执照。</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sz w:val="22"/>
                <w:szCs w:val="22"/>
                <w:highlight w:val="none"/>
              </w:rPr>
            </w:pPr>
            <w:r>
              <w:rPr>
                <w:rFonts w:hint="eastAsia"/>
                <w:sz w:val="21"/>
                <w:szCs w:val="21"/>
                <w:highlight w:val="none"/>
                <w:lang w:val="en-US" w:eastAsia="zh-CN"/>
              </w:rPr>
              <w:t>2.制造商/厂家参与询比的，应具备有生产、销售采购人所需材料的能力;制造商的授权代理商参加询比的，应具备代理证书/品牌厂家授权书，有生产、销售采购人所需材料的能力。</w:t>
            </w:r>
          </w:p>
        </w:tc>
      </w:tr>
    </w:tbl>
    <w:p>
      <w:pPr>
        <w:tabs>
          <w:tab w:val="left" w:pos="400"/>
        </w:tabs>
        <w:overflowPunct w:val="0"/>
        <w:adjustRightInd w:val="0"/>
        <w:snapToGrid w:val="0"/>
        <w:ind w:firstLine="480" w:firstLineChars="200"/>
        <w:rPr>
          <w:rFonts w:hint="eastAsia" w:ascii="华文楷体" w:hAnsi="华文楷体" w:eastAsia="华文楷体" w:cs="华文楷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rPr>
        <w:t>2</w:t>
      </w:r>
      <w:r>
        <w:rPr>
          <w:rFonts w:hint="eastAsia" w:ascii="黑体" w:eastAsia="黑体"/>
          <w:sz w:val="24"/>
          <w:szCs w:val="24"/>
          <w:highlight w:val="none"/>
        </w:rPr>
        <w:t xml:space="preserve"> 资格审查条件（业绩最低要求）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2" w:type="dxa"/>
            <w:noWrap w:val="0"/>
            <w:vAlign w:val="center"/>
          </w:tcPr>
          <w:p>
            <w:pPr>
              <w:snapToGrid w:val="0"/>
              <w:jc w:val="center"/>
              <w:rPr>
                <w:rFonts w:hAnsi="宋体"/>
                <w:sz w:val="22"/>
                <w:szCs w:val="22"/>
                <w:highlight w:val="none"/>
              </w:rPr>
            </w:pPr>
            <w:r>
              <w:rPr>
                <w:rFonts w:hint="eastAsia"/>
                <w:sz w:val="21"/>
                <w:szCs w:val="21"/>
                <w:highlight w:val="none"/>
                <w:lang w:val="en-US" w:eastAsia="zh-CN"/>
              </w:rPr>
              <w:t>至少提供1个自2020年1月1日以来，单项合同额不低于50万元的铝蜂窝卫生间隔断销售合同业绩。</w:t>
            </w:r>
          </w:p>
        </w:tc>
      </w:tr>
    </w:tbl>
    <w:p>
      <w:pPr>
        <w:bidi w:val="0"/>
        <w:rPr>
          <w:rFonts w:hint="eastAsia"/>
          <w:highlight w:val="none"/>
          <w:lang w:val="en-US" w:eastAsia="zh-CN"/>
        </w:rPr>
      </w:pPr>
      <w:r>
        <w:rPr>
          <w:rFonts w:hint="eastAsia"/>
          <w:highlight w:val="none"/>
          <w:lang w:val="en-US" w:eastAsia="zh-CN"/>
        </w:rPr>
        <w:t>业绩证明材料要求如下，否则业绩不予认可。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 xml:space="preserve">①合同协议书扫描件；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②若合同协议书中不能明确反映出招标文件所要求内容的（如合同金额、合同签订时间、供货内容等），则须提供业主单位（甲方）出具加盖公章的证明材料扫描件。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③若业绩合同中包含多项设备，则合同中应能体现资格要求中所需设备的内容和金额，无法体现的，须提供供货单据、供货发票、业主验收单等能证明相关评审因素的证明材料，否则业绩不与认可。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eastAsia="黑体"/>
          <w:bCs/>
          <w:szCs w:val="24"/>
          <w:highlight w:val="none"/>
        </w:rPr>
      </w:pPr>
      <w:r>
        <w:rPr>
          <w:rFonts w:hint="eastAsia"/>
          <w:highlight w:val="none"/>
          <w:lang w:val="en-US" w:eastAsia="zh-CN"/>
        </w:rPr>
        <w:t>④</w:t>
      </w:r>
      <w:r>
        <w:rPr>
          <w:rFonts w:hint="eastAsia"/>
          <w:highlight w:val="none"/>
        </w:rPr>
        <w:t>如近年来，投标人法人机构发生合法变更或重组或法人名称变更时，应提供相关部门的合法批件扫描件或其他相关证明材料扫描件来证明其所</w:t>
      </w:r>
      <w:r>
        <w:rPr>
          <w:rFonts w:hint="eastAsia"/>
          <w:szCs w:val="21"/>
          <w:highlight w:val="none"/>
        </w:rPr>
        <w:t>附业绩的继承性。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黑体" w:eastAsia="黑体"/>
          <w:sz w:val="24"/>
          <w:szCs w:val="24"/>
          <w:highlight w:val="none"/>
        </w:rPr>
      </w:pPr>
    </w:p>
    <w:p>
      <w:pPr>
        <w:pStyle w:val="2"/>
        <w:rPr>
          <w:rFonts w:hint="eastAsia"/>
          <w:highlight w:val="none"/>
        </w:rPr>
      </w:pPr>
    </w:p>
    <w:p>
      <w:pPr>
        <w:jc w:val="center"/>
        <w:rPr>
          <w:sz w:val="24"/>
          <w:szCs w:val="24"/>
          <w:highlight w:val="none"/>
        </w:rPr>
      </w:pPr>
      <w:r>
        <w:rPr>
          <w:rFonts w:hint="eastAsia" w:ascii="黑体" w:eastAsia="黑体"/>
          <w:sz w:val="24"/>
          <w:szCs w:val="24"/>
          <w:highlight w:val="none"/>
        </w:rPr>
        <w:t>附录</w:t>
      </w:r>
      <w:r>
        <w:rPr>
          <w:rFonts w:hint="eastAsia" w:eastAsia="黑体"/>
          <w:sz w:val="24"/>
          <w:szCs w:val="24"/>
          <w:highlight w:val="none"/>
          <w:lang w:val="en-US" w:eastAsia="zh-CN"/>
        </w:rPr>
        <w:t>3</w:t>
      </w:r>
      <w:r>
        <w:rPr>
          <w:rFonts w:hint="eastAsia" w:ascii="黑体" w:eastAsia="黑体"/>
          <w:sz w:val="24"/>
          <w:szCs w:val="24"/>
          <w:highlight w:val="none"/>
        </w:rPr>
        <w:t>资格审查条件（信誉最低要求）</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02" w:hRule="atLeast"/>
          <w:tblHeader/>
          <w:jc w:val="center"/>
        </w:trPr>
        <w:tc>
          <w:tcPr>
            <w:tcW w:w="9072" w:type="dxa"/>
            <w:noWrap w:val="0"/>
            <w:vAlign w:val="center"/>
          </w:tcPr>
          <w:p>
            <w:pPr>
              <w:jc w:val="center"/>
              <w:rPr>
                <w:sz w:val="22"/>
                <w:szCs w:val="22"/>
                <w:highlight w:val="none"/>
              </w:rPr>
            </w:pPr>
            <w:r>
              <w:rPr>
                <w:rFonts w:hint="eastAsia"/>
                <w:sz w:val="22"/>
                <w:szCs w:val="22"/>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072" w:type="dxa"/>
            <w:noWrap w:val="0"/>
            <w:vAlign w:val="center"/>
          </w:tcPr>
          <w:p>
            <w:pPr>
              <w:spacing w:line="276" w:lineRule="auto"/>
              <w:ind w:firstLine="210" w:firstLineChars="100"/>
              <w:jc w:val="left"/>
              <w:rPr>
                <w:rFonts w:hint="eastAsia"/>
                <w:highlight w:val="none"/>
              </w:rPr>
            </w:pPr>
            <w:r>
              <w:rPr>
                <w:rFonts w:hint="eastAsia"/>
                <w:highlight w:val="none"/>
              </w:rPr>
              <w:t>1.投标人、法定代表人近三年内无行贿犯罪行为。</w:t>
            </w:r>
          </w:p>
          <w:p>
            <w:pPr>
              <w:spacing w:line="276" w:lineRule="auto"/>
              <w:ind w:firstLine="210" w:firstLineChars="100"/>
              <w:jc w:val="left"/>
              <w:rPr>
                <w:rFonts w:hint="eastAsia"/>
                <w:highlight w:val="none"/>
              </w:rPr>
            </w:pPr>
            <w:r>
              <w:rPr>
                <w:rFonts w:hint="eastAsia"/>
                <w:highlight w:val="none"/>
              </w:rPr>
              <w:t>2.投标人未被人民法院列入失信被执行人（</w:t>
            </w:r>
            <w:r>
              <w:rPr>
                <w:rFonts w:hint="eastAsia"/>
                <w:b/>
                <w:bCs/>
                <w:highlight w:val="none"/>
              </w:rPr>
              <w:t>以“信用中国”官网http://www.creditchina.gov.cn查询为准</w:t>
            </w:r>
            <w:r>
              <w:rPr>
                <w:rFonts w:hint="eastAsia"/>
                <w:highlight w:val="none"/>
              </w:rPr>
              <w:t>）。</w:t>
            </w:r>
          </w:p>
          <w:p>
            <w:pPr>
              <w:spacing w:line="276" w:lineRule="auto"/>
              <w:ind w:firstLine="210" w:firstLineChars="100"/>
              <w:jc w:val="left"/>
              <w:rPr>
                <w:rFonts w:hint="eastAsia"/>
                <w:highlight w:val="none"/>
              </w:rPr>
            </w:pPr>
            <w:r>
              <w:rPr>
                <w:rFonts w:hint="eastAsia"/>
                <w:highlight w:val="none"/>
              </w:rPr>
              <w:t>3投标人没有正受到责令停业，暂扣或吊销执照，或吊销资质证书。</w:t>
            </w:r>
          </w:p>
          <w:p>
            <w:pPr>
              <w:spacing w:line="276" w:lineRule="auto"/>
              <w:ind w:firstLine="210" w:firstLineChars="100"/>
              <w:jc w:val="left"/>
              <w:rPr>
                <w:rFonts w:hint="eastAsia"/>
                <w:highlight w:val="none"/>
              </w:rPr>
            </w:pPr>
            <w:r>
              <w:rPr>
                <w:rFonts w:hint="eastAsia"/>
                <w:highlight w:val="none"/>
                <w:lang w:val="en-US" w:eastAsia="zh-CN"/>
              </w:rPr>
              <w:t>4</w:t>
            </w:r>
            <w:r>
              <w:rPr>
                <w:rFonts w:hint="eastAsia"/>
                <w:highlight w:val="none"/>
              </w:rPr>
              <w:t>.没有进入清算程序，或被宣告破产，或其他丧失履约能力的情形。</w:t>
            </w:r>
          </w:p>
          <w:p>
            <w:pPr>
              <w:spacing w:line="276" w:lineRule="auto"/>
              <w:ind w:firstLine="210" w:firstLineChars="100"/>
              <w:jc w:val="left"/>
              <w:rPr>
                <w:rFonts w:hint="eastAsia"/>
                <w:highlight w:val="none"/>
              </w:rPr>
            </w:pPr>
            <w:r>
              <w:rPr>
                <w:rFonts w:hint="eastAsia"/>
                <w:highlight w:val="none"/>
                <w:lang w:val="en-US" w:eastAsia="zh-CN"/>
              </w:rPr>
              <w:t>5</w:t>
            </w:r>
            <w:r>
              <w:rPr>
                <w:rFonts w:hint="eastAsia"/>
                <w:highlight w:val="none"/>
              </w:rPr>
              <w:t>.没有在国家企业信用信息公示系统</w:t>
            </w:r>
            <w:r>
              <w:rPr>
                <w:rFonts w:hint="eastAsia"/>
                <w:b/>
                <w:bCs/>
                <w:highlight w:val="none"/>
              </w:rPr>
              <w:t>（http://www.gsxt.gov.cn）</w:t>
            </w:r>
            <w:r>
              <w:rPr>
                <w:rFonts w:hint="eastAsia"/>
                <w:highlight w:val="none"/>
              </w:rPr>
              <w:t>中被列入严重违法失信企业名单。</w:t>
            </w:r>
          </w:p>
          <w:p>
            <w:pPr>
              <w:spacing w:line="276" w:lineRule="auto"/>
              <w:ind w:firstLine="210" w:firstLineChars="100"/>
              <w:jc w:val="left"/>
              <w:rPr>
                <w:rFonts w:hint="eastAsia"/>
                <w:highlight w:val="none"/>
              </w:rPr>
            </w:pPr>
            <w:r>
              <w:rPr>
                <w:rFonts w:hint="eastAsia"/>
                <w:highlight w:val="none"/>
                <w:lang w:val="en-US" w:eastAsia="zh-CN"/>
              </w:rPr>
              <w:t>6</w:t>
            </w:r>
            <w:r>
              <w:rPr>
                <w:rFonts w:hint="eastAsia"/>
                <w:highlight w:val="none"/>
              </w:rPr>
              <w:t>.没有法律法规规定的其他情形。</w:t>
            </w:r>
          </w:p>
          <w:p>
            <w:pPr>
              <w:pStyle w:val="27"/>
              <w:rPr>
                <w:rFonts w:hint="eastAsia"/>
                <w:highlight w:val="none"/>
              </w:rPr>
            </w:pPr>
          </w:p>
        </w:tc>
      </w:tr>
    </w:tbl>
    <w:p>
      <w:pPr>
        <w:pStyle w:val="27"/>
        <w:rPr>
          <w:rFonts w:ascii="Times New Roman" w:hAnsi="Times New Roman" w:eastAsia="黑体" w:cs="Times New Roman"/>
          <w:bCs/>
          <w:sz w:val="24"/>
          <w:szCs w:val="32"/>
          <w:highlight w:val="none"/>
        </w:rPr>
      </w:pPr>
    </w:p>
    <w:p>
      <w:pPr>
        <w:keepNext/>
        <w:keepLines/>
        <w:spacing w:before="156" w:beforeLines="50" w:after="156" w:afterLines="50" w:line="360" w:lineRule="auto"/>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总则</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1.1 质量要求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本合同包的质量要求：</w:t>
      </w:r>
      <w:r>
        <w:rPr>
          <w:rFonts w:hint="eastAsia" w:ascii="Times New Roman" w:hAnsi="Times New Roman" w:cs="Times New Roman"/>
          <w:szCs w:val="21"/>
          <w:highlight w:val="none"/>
        </w:rPr>
        <w:t>见供应商须知前附表。</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 xml:space="preserve"> 供应商资格要求</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.1</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供应商应具备承担本合同包</w:t>
      </w:r>
      <w:r>
        <w:rPr>
          <w:rFonts w:hint="eastAsia" w:ascii="Times New Roman" w:hAnsi="Times New Roman" w:cs="Times New Roman"/>
          <w:szCs w:val="21"/>
          <w:highlight w:val="none"/>
          <w:lang w:val="en-US" w:eastAsia="zh-CN"/>
        </w:rPr>
        <w:t>供货</w:t>
      </w:r>
      <w:r>
        <w:rPr>
          <w:rFonts w:ascii="Times New Roman" w:hAnsi="Times New Roman" w:cs="Times New Roman"/>
          <w:szCs w:val="21"/>
          <w:highlight w:val="none"/>
        </w:rPr>
        <w:t xml:space="preserve">的资质条件、能力和信誉：见第一章 </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采购邀请书第3.1款要求</w:t>
      </w:r>
      <w:r>
        <w:rPr>
          <w:rFonts w:ascii="Times New Roman" w:hAnsi="Times New Roman" w:cs="Times New Roman"/>
          <w:szCs w:val="21"/>
          <w:highlight w:val="none"/>
        </w:rPr>
        <w:t>。</w:t>
      </w:r>
    </w:p>
    <w:p>
      <w:pPr>
        <w:spacing w:line="440" w:lineRule="exact"/>
        <w:ind w:firstLine="420"/>
        <w:rPr>
          <w:rFonts w:ascii="Times New Roman" w:hAnsi="Times New Roman" w:cs="Times New Roman"/>
          <w:szCs w:val="21"/>
          <w:highlight w:val="none"/>
        </w:rPr>
      </w:pPr>
      <w:r>
        <w:rPr>
          <w:rFonts w:ascii="Times New Roman" w:hAnsi="Times New Roman" w:cs="Times New Roman"/>
          <w:szCs w:val="21"/>
          <w:highlight w:val="none"/>
        </w:rPr>
        <w:t>1.</w:t>
      </w:r>
      <w:r>
        <w:rPr>
          <w:rFonts w:hint="eastAsia" w:ascii="Times New Roman" w:hAnsi="Times New Roman" w:cs="Times New Roman"/>
          <w:szCs w:val="21"/>
          <w:highlight w:val="none"/>
        </w:rPr>
        <w:t>2</w:t>
      </w:r>
      <w:r>
        <w:rPr>
          <w:rFonts w:ascii="Times New Roman" w:hAnsi="Times New Roman" w:cs="Times New Roman"/>
          <w:szCs w:val="21"/>
          <w:highlight w:val="none"/>
        </w:rPr>
        <w:t>.</w:t>
      </w:r>
      <w:r>
        <w:rPr>
          <w:rFonts w:hint="eastAsia" w:ascii="Times New Roman" w:hAnsi="Times New Roman" w:cs="Times New Roman"/>
          <w:szCs w:val="21"/>
          <w:highlight w:val="none"/>
        </w:rPr>
        <w:t>2</w:t>
      </w:r>
      <w:r>
        <w:rPr>
          <w:rFonts w:ascii="Times New Roman" w:hAnsi="Times New Roman" w:cs="Times New Roman"/>
          <w:szCs w:val="21"/>
          <w:highlight w:val="none"/>
        </w:rPr>
        <w:t xml:space="preserve"> 其他</w:t>
      </w:r>
      <w:r>
        <w:rPr>
          <w:rFonts w:hint="eastAsia" w:ascii="Times New Roman" w:hAnsi="Times New Roman" w:cs="Times New Roman"/>
          <w:szCs w:val="21"/>
          <w:highlight w:val="none"/>
        </w:rPr>
        <w:t>要求：见供应商须知前附表</w:t>
      </w:r>
      <w:r>
        <w:rPr>
          <w:rFonts w:ascii="Times New Roman" w:hAnsi="Times New Roman" w:cs="Times New Roman"/>
          <w:szCs w:val="21"/>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3</w:t>
      </w:r>
      <w:r>
        <w:rPr>
          <w:rFonts w:ascii="Times New Roman" w:hAnsi="Times New Roman" w:eastAsia="黑体" w:cs="Times New Roman"/>
          <w:bCs/>
          <w:sz w:val="24"/>
          <w:szCs w:val="32"/>
          <w:highlight w:val="none"/>
        </w:rPr>
        <w:t xml:space="preserve"> 费用承担</w:t>
      </w:r>
    </w:p>
    <w:p>
      <w:pPr>
        <w:spacing w:line="440" w:lineRule="exact"/>
        <w:ind w:firstLine="420"/>
        <w:rPr>
          <w:rFonts w:hint="eastAsia" w:ascii="Times New Roman" w:hAnsi="Times New Roman" w:cs="Times New Roman"/>
          <w:szCs w:val="21"/>
          <w:highlight w:val="none"/>
        </w:rPr>
      </w:pPr>
      <w:r>
        <w:rPr>
          <w:rFonts w:hint="eastAsia" w:ascii="Times New Roman" w:hAnsi="Times New Roman" w:cs="Times New Roman"/>
          <w:szCs w:val="21"/>
          <w:highlight w:val="none"/>
        </w:rPr>
        <w:t>供应商准备和参加询比活动发生的费用自理。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4</w:t>
      </w:r>
      <w:r>
        <w:rPr>
          <w:rFonts w:ascii="Times New Roman" w:hAnsi="Times New Roman" w:eastAsia="黑体" w:cs="Times New Roman"/>
          <w:bCs/>
          <w:sz w:val="24"/>
          <w:szCs w:val="32"/>
          <w:highlight w:val="none"/>
        </w:rPr>
        <w:t xml:space="preserve"> 保密</w:t>
      </w:r>
    </w:p>
    <w:p>
      <w:pPr>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ascii="Times New Roman" w:hAnsi="Times New Roman" w:cs="Times New Roman"/>
          <w:highlight w:val="none"/>
        </w:rPr>
      </w:pPr>
      <w:r>
        <w:rPr>
          <w:rFonts w:ascii="Times New Roman" w:hAnsi="Times New Roman" w:cs="Times New Roman"/>
          <w:highlight w:val="none"/>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计量单位</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所有计量均采用中华人民共和国法定计量单位。</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 xml:space="preserve"> 踏勘现场</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w:t>
      </w:r>
      <w:r>
        <w:rPr>
          <w:rFonts w:hint="eastAsia" w:ascii="Times New Roman" w:hAnsi="Times New Roman" w:cs="Times New Roman"/>
          <w:highlight w:val="none"/>
        </w:rPr>
        <w:t>自行</w:t>
      </w:r>
      <w:r>
        <w:rPr>
          <w:rFonts w:ascii="Times New Roman" w:hAnsi="Times New Roman" w:cs="Times New Roman"/>
          <w:highlight w:val="none"/>
        </w:rPr>
        <w:t>踏勘现场</w:t>
      </w:r>
      <w:r>
        <w:rPr>
          <w:rFonts w:hint="eastAsia" w:ascii="Times New Roman" w:hAnsi="Times New Roman" w:cs="Times New Roman"/>
          <w:highlight w:val="none"/>
        </w:rPr>
        <w:t>且</w:t>
      </w:r>
      <w:r>
        <w:rPr>
          <w:rFonts w:ascii="Times New Roman" w:hAnsi="Times New Roman" w:cs="Times New Roman"/>
          <w:highlight w:val="none"/>
        </w:rPr>
        <w:t>费用自理。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7</w:t>
      </w:r>
      <w:r>
        <w:rPr>
          <w:rFonts w:ascii="Times New Roman" w:hAnsi="Times New Roman" w:eastAsia="黑体" w:cs="Times New Roman"/>
          <w:bCs/>
          <w:sz w:val="24"/>
          <w:szCs w:val="32"/>
          <w:highlight w:val="none"/>
        </w:rPr>
        <w:t xml:space="preserve"> 分包</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不允许分包。</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w:t>
      </w:r>
      <w:r>
        <w:rPr>
          <w:rFonts w:hint="eastAsia" w:ascii="Times New Roman" w:hAnsi="Times New Roman" w:eastAsia="黑体" w:cs="Times New Roman"/>
          <w:bCs/>
          <w:sz w:val="24"/>
          <w:szCs w:val="32"/>
          <w:highlight w:val="none"/>
        </w:rPr>
        <w:t>8</w:t>
      </w:r>
      <w:r>
        <w:rPr>
          <w:rFonts w:ascii="Times New Roman" w:hAnsi="Times New Roman" w:eastAsia="黑体" w:cs="Times New Roman"/>
          <w:bCs/>
          <w:sz w:val="24"/>
          <w:szCs w:val="32"/>
          <w:highlight w:val="none"/>
        </w:rPr>
        <w:t xml:space="preserve"> 偏</w:t>
      </w:r>
      <w:r>
        <w:rPr>
          <w:rFonts w:hint="eastAsia" w:ascii="Times New Roman" w:hAnsi="Times New Roman" w:eastAsia="黑体" w:cs="Times New Roman"/>
          <w:bCs/>
          <w:sz w:val="24"/>
          <w:szCs w:val="32"/>
          <w:highlight w:val="none"/>
        </w:rPr>
        <w:t>差</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偏差包括重大偏差和细微偏差。</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8</w:t>
      </w:r>
      <w:r>
        <w:rPr>
          <w:rFonts w:ascii="Times New Roman" w:hAnsi="Times New Roman" w:cs="Times New Roman"/>
          <w:highlight w:val="none"/>
        </w:rPr>
        <w:t>.2 响应文件存在第三章“评审办法”中所列任一否决</w:t>
      </w:r>
      <w:r>
        <w:rPr>
          <w:rFonts w:hint="eastAsia" w:ascii="Times New Roman" w:hAnsi="Times New Roman" w:cs="Times New Roman"/>
          <w:highlight w:val="none"/>
        </w:rPr>
        <w:t>响应文件</w:t>
      </w:r>
      <w:r>
        <w:rPr>
          <w:rFonts w:ascii="Times New Roman" w:hAnsi="Times New Roman" w:cs="Times New Roman"/>
          <w:highlight w:val="none"/>
        </w:rPr>
        <w:t>情形的，均属于存在重大偏差</w:t>
      </w:r>
      <w:r>
        <w:rPr>
          <w:rFonts w:hint="eastAsia" w:ascii="Times New Roman" w:hAnsi="Times New Roman" w:cs="Times New Roman"/>
          <w:highlight w:val="none"/>
        </w:rPr>
        <w:t>，响应文件将被否决</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 询比文件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2.1 询比文件的组成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本询比文件包括：</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采购公告</w:t>
      </w:r>
      <w:r>
        <w:rPr>
          <w:rFonts w:ascii="Times New Roman" w:hAnsi="Times New Roman" w:cs="Times New Roman"/>
          <w:highlight w:val="none"/>
        </w:rPr>
        <w:t>/</w:t>
      </w:r>
      <w:r>
        <w:rPr>
          <w:rFonts w:hint="eastAsia" w:ascii="Times New Roman" w:hAnsi="Times New Roman" w:cs="Times New Roman"/>
          <w:highlight w:val="none"/>
        </w:rPr>
        <w:t>采购邀请书</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（2）供应商须知；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（3）评审办法；</w:t>
      </w:r>
    </w:p>
    <w:p>
      <w:pPr>
        <w:spacing w:line="440" w:lineRule="exact"/>
        <w:ind w:firstLine="420"/>
        <w:rPr>
          <w:rFonts w:hint="eastAsia" w:ascii="Times New Roman" w:hAnsi="Times New Roman" w:eastAsia="宋体" w:cs="Times New Roman"/>
          <w:highlight w:val="none"/>
          <w:lang w:eastAsia="zh-CN"/>
        </w:rPr>
      </w:pPr>
      <w:r>
        <w:rPr>
          <w:rFonts w:ascii="Times New Roman" w:hAnsi="Times New Roman" w:cs="Times New Roman"/>
          <w:highlight w:val="none"/>
        </w:rPr>
        <w:t>（4）合同内容</w:t>
      </w:r>
      <w:r>
        <w:rPr>
          <w:rFonts w:hint="eastAsia" w:ascii="Times New Roman" w:hAnsi="Times New Roman" w:eastAsia="宋体" w:cs="Times New Roman"/>
          <w:highlight w:val="none"/>
          <w:lang w:eastAsia="zh-CN"/>
        </w:rPr>
        <w:t>；</w:t>
      </w:r>
    </w:p>
    <w:p>
      <w:pPr>
        <w:spacing w:line="440" w:lineRule="exact"/>
        <w:ind w:firstLine="420"/>
        <w:rPr>
          <w:rFonts w:ascii="Times New Roman" w:hAnsi="Times New Roman" w:cs="Times New Roman"/>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供货要求</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6</w:t>
      </w:r>
      <w:r>
        <w:rPr>
          <w:rFonts w:ascii="Times New Roman" w:hAnsi="Times New Roman" w:cs="Times New Roman"/>
          <w:highlight w:val="none"/>
        </w:rPr>
        <w:t>）采购需求及清单；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7</w:t>
      </w:r>
      <w:r>
        <w:rPr>
          <w:rFonts w:ascii="Times New Roman" w:hAnsi="Times New Roman" w:cs="Times New Roman"/>
          <w:highlight w:val="none"/>
        </w:rPr>
        <w:t>）响应文件格式</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根据本章第2.2款对询比文件所作的澄清、修改，构成询比文件的组成部分。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2.2 询比文件的澄清</w:t>
      </w:r>
      <w:r>
        <w:rPr>
          <w:rFonts w:hint="eastAsia" w:ascii="Times New Roman" w:hAnsi="Times New Roman" w:eastAsia="黑体" w:cs="Times New Roman"/>
          <w:bCs/>
          <w:sz w:val="24"/>
          <w:szCs w:val="32"/>
          <w:highlight w:val="none"/>
        </w:rPr>
        <w:t>与修改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2.2.1</w:t>
      </w:r>
      <w:r>
        <w:rPr>
          <w:rFonts w:hint="eastAsia" w:ascii="Times New Roman" w:hAnsi="Times New Roman" w:cs="Times New Roman"/>
          <w:highlight w:val="none"/>
        </w:rPr>
        <w:t xml:space="preserve"> </w:t>
      </w:r>
      <w:r>
        <w:rPr>
          <w:rFonts w:ascii="Times New Roman" w:hAnsi="Times New Roman" w:cs="Times New Roman"/>
          <w:highlight w:val="none"/>
        </w:rPr>
        <w:t>供应商如有疑问，应在递交</w:t>
      </w:r>
      <w:r>
        <w:rPr>
          <w:rFonts w:hint="eastAsia" w:ascii="Times New Roman" w:hAnsi="Times New Roman" w:cs="Times New Roman"/>
          <w:highlight w:val="none"/>
        </w:rPr>
        <w:t>响应</w:t>
      </w:r>
      <w:r>
        <w:rPr>
          <w:rFonts w:ascii="Times New Roman" w:hAnsi="Times New Roman" w:cs="Times New Roman"/>
          <w:highlight w:val="none"/>
        </w:rPr>
        <w:t>文件的截止时间</w:t>
      </w:r>
      <w:r>
        <w:rPr>
          <w:rFonts w:hint="eastAsia" w:ascii="Times New Roman" w:hAnsi="Times New Roman" w:cs="Times New Roman"/>
          <w:highlight w:val="none"/>
        </w:rPr>
        <w:t>前3日</w:t>
      </w:r>
      <w:r>
        <w:rPr>
          <w:rFonts w:ascii="Times New Roman" w:hAnsi="Times New Roman" w:cs="Times New Roman"/>
          <w:highlight w:val="none"/>
        </w:rPr>
        <w:t>前</w:t>
      </w:r>
      <w:r>
        <w:rPr>
          <w:rFonts w:hint="eastAsia" w:ascii="Times New Roman" w:hAnsi="Times New Roman" w:cs="Times New Roman"/>
          <w:highlight w:val="none"/>
        </w:rPr>
        <w:t>通过</w:t>
      </w:r>
      <w:r>
        <w:rPr>
          <w:rFonts w:hint="eastAsia" w:ascii="Times New Roman" w:hAnsi="Times New Roman" w:cs="Times New Roman"/>
          <w:highlight w:val="none"/>
          <w:lang w:eastAsia="zh-CN"/>
        </w:rPr>
        <w:t>“</w:t>
      </w:r>
      <w:r>
        <w:rPr>
          <w:rFonts w:hint="eastAsia" w:ascii="Times New Roman" w:hAnsi="Times New Roman" w:cs="Times New Roman"/>
          <w:highlight w:val="none"/>
        </w:rPr>
        <w:t>安徽</w:t>
      </w:r>
      <w:r>
        <w:rPr>
          <w:rFonts w:hint="eastAsia" w:ascii="Times New Roman" w:hAnsi="Times New Roman" w:cs="Times New Roman"/>
          <w:highlight w:val="none"/>
          <w:lang w:val="en-US" w:eastAsia="zh-CN"/>
        </w:rPr>
        <w:t>省经工建设集团有限公司”官网平台联系采购人</w:t>
      </w:r>
      <w:r>
        <w:rPr>
          <w:rFonts w:ascii="Times New Roman" w:hAnsi="Times New Roman" w:cs="Times New Roman"/>
          <w:highlight w:val="none"/>
        </w:rPr>
        <w:t>对询比文件予以澄清</w:t>
      </w:r>
      <w:r>
        <w:rPr>
          <w:rFonts w:hint="eastAsia" w:ascii="Times New Roman" w:hAnsi="Times New Roman" w:cs="Times New Roman"/>
          <w:highlight w:val="none"/>
        </w:rPr>
        <w:t>或修改</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w:t>
      </w:r>
      <w:r>
        <w:rPr>
          <w:rFonts w:hint="eastAsia" w:ascii="Times New Roman" w:hAnsi="Times New Roman" w:cs="Times New Roman"/>
          <w:highlight w:val="none"/>
        </w:rPr>
        <w:t>2</w:t>
      </w:r>
      <w:r>
        <w:rPr>
          <w:rFonts w:ascii="Times New Roman" w:hAnsi="Times New Roman" w:cs="Times New Roman"/>
          <w:highlight w:val="none"/>
        </w:rPr>
        <w:t xml:space="preserve"> 除非采购人认为确有必要答复，否则，采购人有权拒绝回复供应商在本章第2.2.1项规定的时间后提出的任何澄清</w:t>
      </w:r>
      <w:r>
        <w:rPr>
          <w:rFonts w:hint="eastAsia" w:ascii="Times New Roman" w:hAnsi="Times New Roman" w:cs="Times New Roman"/>
          <w:highlight w:val="none"/>
        </w:rPr>
        <w:t>或修改</w:t>
      </w:r>
      <w:r>
        <w:rPr>
          <w:rFonts w:ascii="Times New Roman" w:hAnsi="Times New Roman" w:cs="Times New Roman"/>
          <w:highlight w:val="none"/>
        </w:rPr>
        <w:t>要求。</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 响应文件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3.1响应文件的组成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响应文件应包括下列内容：</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商务及技术文件应包括下列内容：</w:t>
      </w:r>
    </w:p>
    <w:p>
      <w:pPr>
        <w:numPr>
          <w:ilvl w:val="0"/>
          <w:numId w:val="4"/>
        </w:numPr>
        <w:spacing w:line="440" w:lineRule="exact"/>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响应函；</w:t>
      </w:r>
    </w:p>
    <w:p>
      <w:pPr>
        <w:numPr>
          <w:ilvl w:val="0"/>
          <w:numId w:val="4"/>
        </w:numPr>
        <w:spacing w:line="440" w:lineRule="exact"/>
        <w:ind w:firstLine="420"/>
        <w:rPr>
          <w:rFonts w:hint="eastAsia" w:ascii="宋体" w:hAnsi="宋体" w:eastAsia="宋体" w:cs="宋体"/>
          <w:highlight w:val="none"/>
        </w:rPr>
      </w:pPr>
      <w:r>
        <w:rPr>
          <w:rFonts w:hint="eastAsia" w:ascii="宋体" w:hAnsi="宋体" w:eastAsia="宋体" w:cs="宋体"/>
          <w:highlight w:val="none"/>
        </w:rPr>
        <w:t>法定代表人身份证明及授权委托书；</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）供应商基本情况；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）近年类似业绩情况；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）信誉情况；</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供货方案</w:t>
      </w:r>
      <w:r>
        <w:rPr>
          <w:rFonts w:hint="eastAsia" w:ascii="宋体" w:hAnsi="宋体" w:eastAsia="宋体" w:cs="宋体"/>
          <w:highlight w:val="none"/>
        </w:rPr>
        <w:t>；</w:t>
      </w:r>
    </w:p>
    <w:p>
      <w:pPr>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）其他材料。</w:t>
      </w:r>
    </w:p>
    <w:p>
      <w:pPr>
        <w:spacing w:line="440" w:lineRule="exact"/>
        <w:ind w:firstLine="420"/>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报价文件包括以下内容：</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val="en-US" w:eastAsia="zh-CN"/>
        </w:rPr>
        <w:t>报价函</w:t>
      </w:r>
      <w:r>
        <w:rPr>
          <w:rFonts w:hint="eastAsia" w:ascii="宋体" w:hAnsi="宋体" w:eastAsia="宋体" w:cs="宋体"/>
          <w:highlight w:val="none"/>
        </w:rPr>
        <w:t>；</w:t>
      </w:r>
    </w:p>
    <w:p>
      <w:pPr>
        <w:spacing w:line="440" w:lineRule="exact"/>
        <w:ind w:firstLine="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已标价的工程量清单</w:t>
      </w:r>
      <w:r>
        <w:rPr>
          <w:rFonts w:hint="eastAsia" w:ascii="宋体" w:hAnsi="宋体" w:eastAsia="宋体" w:cs="宋体"/>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3.2 报价要求 </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3.2.1 报价应包括国家规定的增值税税金。</w:t>
      </w:r>
    </w:p>
    <w:p>
      <w:pPr>
        <w:spacing w:line="440" w:lineRule="exact"/>
        <w:ind w:firstLine="420"/>
        <w:rPr>
          <w:rFonts w:hint="default" w:ascii="Times New Roman" w:hAnsi="Times New Roman" w:cs="Times New Roman" w:eastAsiaTheme="minorEastAsia"/>
          <w:highlight w:val="none"/>
          <w:lang w:val="en-US" w:eastAsia="zh-CN"/>
        </w:rPr>
      </w:pPr>
      <w:r>
        <w:rPr>
          <w:rFonts w:hint="eastAsia" w:ascii="Times New Roman" w:hAnsi="Times New Roman" w:cs="Times New Roman"/>
          <w:highlight w:val="none"/>
        </w:rPr>
        <w:t xml:space="preserve">3.2.2 </w:t>
      </w:r>
      <w:r>
        <w:rPr>
          <w:rFonts w:ascii="Times New Roman" w:hAnsi="Times New Roman" w:cs="Times New Roman"/>
          <w:highlight w:val="none"/>
        </w:rPr>
        <w:t>供应商应按第六章“响应文件格式”的要求在报价函中进行报价并填写工程量清单相应表格</w:t>
      </w:r>
      <w:r>
        <w:rPr>
          <w:rFonts w:hint="eastAsia" w:ascii="Times New Roman" w:hAnsi="Times New Roman" w:cs="Times New Roman"/>
          <w:highlight w:val="none"/>
          <w:lang w:val="en-US" w:eastAsia="zh-C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3</w:t>
      </w:r>
      <w:r>
        <w:rPr>
          <w:rFonts w:ascii="Times New Roman" w:hAnsi="Times New Roman" w:cs="Times New Roman"/>
          <w:highlight w:val="none"/>
        </w:rPr>
        <w:t xml:space="preserve"> 采购人设有最高限价的，供应商的报价不得超过最高限价，</w:t>
      </w:r>
      <w:r>
        <w:rPr>
          <w:rFonts w:hint="eastAsia" w:ascii="Times New Roman" w:hAnsi="Times New Roman" w:cs="Times New Roman"/>
          <w:highlight w:val="none"/>
        </w:rPr>
        <w:t>否则其报价将被否决，</w:t>
      </w:r>
      <w:r>
        <w:rPr>
          <w:rFonts w:ascii="Times New Roman" w:hAnsi="Times New Roman" w:cs="Times New Roman"/>
          <w:highlight w:val="none"/>
        </w:rPr>
        <w:t>最高限价</w:t>
      </w:r>
      <w:r>
        <w:rPr>
          <w:rFonts w:hint="eastAsia" w:ascii="Times New Roman" w:hAnsi="Times New Roman" w:cs="Times New Roman"/>
          <w:highlight w:val="none"/>
        </w:rPr>
        <w:t>见第一章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highlight w:val="none"/>
        </w:rPr>
        <w:t>第2.</w:t>
      </w:r>
      <w:r>
        <w:rPr>
          <w:rFonts w:hint="eastAsia" w:ascii="Times New Roman" w:hAnsi="Times New Roman" w:cs="Times New Roman"/>
          <w:highlight w:val="none"/>
          <w:lang w:val="en-US" w:eastAsia="zh-CN"/>
        </w:rPr>
        <w:t>6</w:t>
      </w:r>
      <w:r>
        <w:rPr>
          <w:rFonts w:hint="eastAsia" w:ascii="Times New Roman" w:hAnsi="Times New Roman" w:cs="Times New Roman"/>
          <w:highlight w:val="none"/>
        </w:rPr>
        <w:t>款</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3.2.4</w:t>
      </w:r>
      <w:r>
        <w:rPr>
          <w:rFonts w:ascii="Times New Roman" w:hAnsi="Times New Roman" w:cs="Times New Roman"/>
          <w:highlight w:val="none"/>
        </w:rPr>
        <w:t>本项目的报价方式</w:t>
      </w:r>
      <w:r>
        <w:rPr>
          <w:rFonts w:hint="eastAsia" w:ascii="Times New Roman" w:hAnsi="Times New Roman" w:cs="Times New Roman"/>
          <w:highlight w:val="none"/>
        </w:rPr>
        <w:t>为</w:t>
      </w:r>
      <w:r>
        <w:rPr>
          <w:rFonts w:hint="eastAsia" w:ascii="Times New Roman" w:hAnsi="Times New Roman" w:cs="Times New Roman"/>
          <w:highlight w:val="none"/>
          <w:u w:val="single"/>
        </w:rPr>
        <w:t xml:space="preserve">  见供应商须知前附表  </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3.2.</w:t>
      </w:r>
      <w:r>
        <w:rPr>
          <w:rFonts w:hint="eastAsia" w:ascii="Times New Roman" w:hAnsi="Times New Roman" w:cs="Times New Roman"/>
          <w:highlight w:val="none"/>
        </w:rPr>
        <w:t>5</w:t>
      </w:r>
      <w:r>
        <w:rPr>
          <w:rFonts w:ascii="Times New Roman" w:hAnsi="Times New Roman" w:cs="Times New Roman"/>
          <w:highlight w:val="none"/>
        </w:rPr>
        <w:t xml:space="preserve"> 报价的其他要求</w:t>
      </w:r>
      <w:r>
        <w:rPr>
          <w:rFonts w:hint="eastAsia" w:ascii="Times New Roman" w:hAnsi="Times New Roman" w:cs="Times New Roman"/>
          <w:highlight w:val="none"/>
        </w:rPr>
        <w:t>：</w:t>
      </w:r>
      <w:r>
        <w:rPr>
          <w:rFonts w:hint="eastAsia" w:ascii="Times New Roman" w:hAnsi="Times New Roman" w:cs="Times New Roman"/>
          <w:szCs w:val="21"/>
          <w:highlight w:val="none"/>
        </w:rPr>
        <w:t>见供应商须知前附表</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3.3响应有效期</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3.3.1 响应有效期为</w:t>
      </w:r>
      <w:r>
        <w:rPr>
          <w:rFonts w:ascii="Times New Roman" w:hAnsi="Times New Roman" w:eastAsia="宋体" w:cs="Times New Roman"/>
          <w:szCs w:val="21"/>
          <w:highlight w:val="none"/>
        </w:rPr>
        <w:t>自供应商递交响应文件截止之日起计算</w:t>
      </w:r>
      <w:r>
        <w:rPr>
          <w:rFonts w:hint="eastAsia" w:ascii="Times New Roman" w:hAnsi="Times New Roman" w:eastAsia="宋体" w:cs="Times New Roman"/>
          <w:szCs w:val="21"/>
          <w:highlight w:val="none"/>
        </w:rPr>
        <w:t>9</w:t>
      </w:r>
      <w:r>
        <w:rPr>
          <w:rFonts w:ascii="Times New Roman" w:hAnsi="Times New Roman" w:eastAsia="宋体" w:cs="Times New Roman"/>
          <w:szCs w:val="21"/>
          <w:highlight w:val="none"/>
        </w:rPr>
        <w:t>0</w:t>
      </w:r>
      <w:r>
        <w:rPr>
          <w:rFonts w:ascii="Times New Roman" w:hAnsi="Times New Roman" w:cs="Times New Roman"/>
          <w:highlight w:val="none"/>
        </w:rPr>
        <w:t>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3.4响应保证金</w:t>
      </w:r>
    </w:p>
    <w:p>
      <w:pPr>
        <w:spacing w:line="440" w:lineRule="exact"/>
        <w:ind w:firstLine="420"/>
        <w:rPr>
          <w:rFonts w:ascii="Times New Roman" w:hAnsi="Times New Roman"/>
          <w:highlight w:val="none"/>
        </w:rPr>
      </w:pPr>
      <w:r>
        <w:rPr>
          <w:rFonts w:ascii="Times New Roman" w:hAnsi="Times New Roman" w:cs="Times New Roman"/>
          <w:highlight w:val="none"/>
        </w:rPr>
        <w:t>3.4.1 供应商在递交响应文件的同时，应按</w:t>
      </w:r>
      <w:r>
        <w:rPr>
          <w:rFonts w:hint="eastAsia" w:ascii="Times New Roman" w:hAnsi="Times New Roman" w:cs="Times New Roman"/>
          <w:highlight w:val="none"/>
        </w:rPr>
        <w:t>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highlight w:val="none"/>
        </w:rPr>
        <w:t>第7条的要求</w:t>
      </w:r>
      <w:r>
        <w:rPr>
          <w:rFonts w:ascii="Times New Roman" w:hAnsi="Times New Roman" w:cs="Times New Roman"/>
          <w:highlight w:val="none"/>
        </w:rPr>
        <w:t>递交响应保证金，并作为其响应文件的组成部分。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无论采取何种形式的响应保证金，响应保证金有效期均应与响应有效期一致。</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3.4.2 供应商不按本章第3.4.1项要求提交响应保证金的，</w:t>
      </w:r>
      <w:r>
        <w:rPr>
          <w:rFonts w:hint="eastAsia" w:ascii="Times New Roman" w:hAnsi="Times New Roman" w:cs="Times New Roman"/>
          <w:highlight w:val="none"/>
        </w:rPr>
        <w:t>评审小组</w:t>
      </w:r>
      <w:r>
        <w:rPr>
          <w:rFonts w:ascii="Times New Roman" w:hAnsi="Times New Roman" w:cs="Times New Roman"/>
          <w:highlight w:val="none"/>
        </w:rPr>
        <w:t>将否决其</w:t>
      </w:r>
      <w:r>
        <w:rPr>
          <w:rFonts w:hint="eastAsia" w:ascii="Times New Roman" w:hAnsi="Times New Roman" w:cs="Times New Roman"/>
          <w:highlight w:val="none"/>
        </w:rPr>
        <w:t>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3.4.3 采购人在与成交人签订合同后5日内办理退还响应保证金手续。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3.4.4 有下列情形之一的，响应保证金将不予退还：</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（1）供应商在规定的响应有效期内撤销其响应文件；</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szCs w:val="21"/>
          <w:highlight w:val="none"/>
        </w:rPr>
        <w:t>供应商须知前附表规定的</w:t>
      </w:r>
      <w:r>
        <w:rPr>
          <w:rFonts w:ascii="Times New Roman" w:hAnsi="Times New Roman" w:cs="Times New Roman"/>
          <w:szCs w:val="21"/>
          <w:highlight w:val="none"/>
        </w:rPr>
        <w:t>其他情形</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3.5资格审查资料</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供应商应按第六章“响应文件格式”</w:t>
      </w:r>
      <w:r>
        <w:rPr>
          <w:rFonts w:hint="eastAsia" w:ascii="Times New Roman" w:hAnsi="Times New Roman" w:cs="Times New Roman"/>
          <w:highlight w:val="none"/>
        </w:rPr>
        <w:t>的</w:t>
      </w:r>
      <w:r>
        <w:rPr>
          <w:rFonts w:ascii="Times New Roman" w:hAnsi="Times New Roman" w:cs="Times New Roman"/>
          <w:highlight w:val="none"/>
        </w:rPr>
        <w:t>规定提供资格审查资料，以证明其满足本章第1.</w:t>
      </w:r>
      <w:r>
        <w:rPr>
          <w:rFonts w:hint="eastAsia" w:ascii="Times New Roman" w:hAnsi="Times New Roman" w:cs="Times New Roman"/>
          <w:highlight w:val="none"/>
        </w:rPr>
        <w:t>2</w:t>
      </w:r>
      <w:r>
        <w:rPr>
          <w:rFonts w:ascii="Times New Roman" w:hAnsi="Times New Roman" w:cs="Times New Roman"/>
          <w:highlight w:val="none"/>
        </w:rPr>
        <w:t>款规定的资质、</w:t>
      </w:r>
      <w:r>
        <w:rPr>
          <w:rFonts w:hint="eastAsia" w:ascii="Times New Roman" w:hAnsi="Times New Roman" w:cs="Times New Roman"/>
          <w:highlight w:val="none"/>
        </w:rPr>
        <w:t>能力、</w:t>
      </w:r>
      <w:r>
        <w:rPr>
          <w:rFonts w:ascii="Times New Roman" w:hAnsi="Times New Roman" w:cs="Times New Roman"/>
          <w:highlight w:val="none"/>
        </w:rPr>
        <w:t>信誉等要求。</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6</w:t>
      </w:r>
      <w:r>
        <w:rPr>
          <w:rFonts w:ascii="Times New Roman" w:hAnsi="Times New Roman" w:eastAsia="黑体" w:cs="Times New Roman"/>
          <w:bCs/>
          <w:sz w:val="24"/>
          <w:szCs w:val="32"/>
          <w:highlight w:val="none"/>
        </w:rPr>
        <w:t>响应文件的编制</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.1</w:t>
      </w:r>
      <w:r>
        <w:rPr>
          <w:rFonts w:hint="eastAsia" w:ascii="Times New Roman" w:hAnsi="Times New Roman" w:cs="Times New Roman"/>
          <w:highlight w:val="none"/>
        </w:rPr>
        <w:t xml:space="preserve"> </w:t>
      </w:r>
      <w:r>
        <w:rPr>
          <w:rFonts w:ascii="Times New Roman" w:hAnsi="Times New Roman" w:cs="Times New Roman"/>
          <w:highlight w:val="none"/>
        </w:rPr>
        <w:t>响应文件应按第六章“响应文件格式”进行编写，如有必要，可以增加附页，作为响应文件的组成部分。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.2 响应文件应当对询比文件有关工期、响应有效期、质量要求、技术标准和要求、</w:t>
      </w:r>
      <w:r>
        <w:rPr>
          <w:rFonts w:hint="eastAsia" w:ascii="Times New Roman" w:hAnsi="Times New Roman" w:cs="Times New Roman"/>
          <w:highlight w:val="none"/>
        </w:rPr>
        <w:t>采购范围</w:t>
      </w:r>
      <w:r>
        <w:rPr>
          <w:rFonts w:ascii="Times New Roman" w:hAnsi="Times New Roman" w:cs="Times New Roman"/>
          <w:highlight w:val="none"/>
        </w:rPr>
        <w:t>等实质性内容作出响应。</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6</w:t>
      </w:r>
      <w:r>
        <w:rPr>
          <w:rFonts w:ascii="Times New Roman" w:hAnsi="Times New Roman" w:cs="Times New Roman"/>
          <w:highlight w:val="none"/>
        </w:rPr>
        <w:t>.3响应文件的制作应满足以下规定：</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响应</w:t>
      </w:r>
      <w:r>
        <w:rPr>
          <w:rFonts w:ascii="Times New Roman" w:hAnsi="Times New Roman" w:cs="Times New Roman"/>
          <w:highlight w:val="none"/>
        </w:rPr>
        <w:t>文件应用不褪色的材料书写或打印，并按第六章“</w:t>
      </w:r>
      <w:r>
        <w:rPr>
          <w:rFonts w:hint="eastAsia" w:ascii="Times New Roman" w:hAnsi="Times New Roman" w:cs="Times New Roman"/>
          <w:highlight w:val="none"/>
        </w:rPr>
        <w:t>响应文件</w:t>
      </w:r>
      <w:r>
        <w:rPr>
          <w:rFonts w:ascii="Times New Roman" w:hAnsi="Times New Roman" w:cs="Times New Roman"/>
          <w:highlight w:val="none"/>
        </w:rPr>
        <w:t>格式”的要求进行</w:t>
      </w:r>
      <w:r>
        <w:rPr>
          <w:rFonts w:hint="eastAsia" w:ascii="Times New Roman" w:hAnsi="Times New Roman" w:cs="Times New Roman"/>
          <w:highlight w:val="none"/>
        </w:rPr>
        <w:t>签名</w:t>
      </w:r>
      <w:r>
        <w:rPr>
          <w:rFonts w:ascii="Times New Roman" w:hAnsi="Times New Roman" w:cs="Times New Roman"/>
          <w:highlight w:val="none"/>
        </w:rPr>
        <w:t>和（或）盖章。</w:t>
      </w:r>
      <w:r>
        <w:rPr>
          <w:rFonts w:hint="eastAsia" w:ascii="Times New Roman" w:hAnsi="Times New Roman" w:cs="Times New Roman"/>
          <w:highlight w:val="none"/>
        </w:rPr>
        <w:t>响应</w:t>
      </w:r>
      <w:r>
        <w:rPr>
          <w:rFonts w:ascii="Times New Roman" w:hAnsi="Times New Roman" w:cs="Times New Roman"/>
          <w:highlight w:val="none"/>
        </w:rPr>
        <w:t>文件应尽量避免涂改、行间插字或删除。如果出现上述情况，改动之处应由</w:t>
      </w:r>
      <w:r>
        <w:rPr>
          <w:rFonts w:hint="eastAsia" w:ascii="Times New Roman" w:hAnsi="Times New Roman" w:cs="Times New Roman"/>
          <w:highlight w:val="none"/>
        </w:rPr>
        <w:t>供应商</w:t>
      </w:r>
      <w:r>
        <w:rPr>
          <w:rFonts w:ascii="Times New Roman" w:hAnsi="Times New Roman" w:cs="Times New Roman"/>
          <w:highlight w:val="none"/>
        </w:rPr>
        <w:t>的法定代表人或其授权的代理人</w:t>
      </w:r>
      <w:r>
        <w:rPr>
          <w:rFonts w:hint="eastAsia" w:ascii="Times New Roman" w:hAnsi="Times New Roman" w:cs="Times New Roman"/>
          <w:highlight w:val="none"/>
        </w:rPr>
        <w:t>签名</w:t>
      </w:r>
      <w:r>
        <w:rPr>
          <w:rFonts w:ascii="Times New Roman" w:hAnsi="Times New Roman" w:cs="Times New Roman"/>
          <w:highlight w:val="none"/>
        </w:rPr>
        <w:t>或盖单位章。</w:t>
      </w:r>
    </w:p>
    <w:p>
      <w:pPr>
        <w:spacing w:line="440" w:lineRule="exact"/>
        <w:ind w:firstLine="420"/>
        <w:rPr>
          <w:rFonts w:hint="default" w:ascii="Times New Roman" w:hAnsi="Times New Roman" w:cs="Times New Roman" w:eastAsiaTheme="minorEastAsia"/>
          <w:highlight w:val="none"/>
          <w:lang w:val="en-US" w:eastAsia="zh-CN"/>
        </w:rPr>
      </w:pPr>
      <w:r>
        <w:rPr>
          <w:rFonts w:ascii="Times New Roman" w:hAnsi="Times New Roman" w:cs="Times New Roman"/>
          <w:highlight w:val="none"/>
        </w:rPr>
        <w:t>（2）</w:t>
      </w:r>
      <w:r>
        <w:rPr>
          <w:rFonts w:hint="eastAsia" w:ascii="Times New Roman" w:hAnsi="Times New Roman" w:cs="Times New Roman"/>
          <w:highlight w:val="none"/>
          <w:lang w:val="en-US" w:eastAsia="zh-CN"/>
        </w:rPr>
        <w:t>响应文件正本一份，副本一份。正本和副本的封面右上角上应清楚地标记“正本”和“副本”的字样。当副本与正本不一致时，以正本文件为准。</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3</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响应文件的正本与副本应分别装订。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4</w:t>
      </w:r>
      <w:r>
        <w:rPr>
          <w:rFonts w:hint="eastAsia" w:ascii="Times New Roman" w:hAnsi="Times New Roman" w:cs="Times New Roman"/>
          <w:highlight w:val="none"/>
          <w:lang w:eastAsia="zh-CN"/>
        </w:rPr>
        <w:t>）</w:t>
      </w:r>
      <w:r>
        <w:rPr>
          <w:rFonts w:hint="eastAsia" w:ascii="Times New Roman" w:hAnsi="Times New Roman" w:cs="Times New Roman"/>
          <w:highlight w:val="none"/>
        </w:rPr>
        <w:t>响应文件其他要求见供应商须知前附表</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 响应文件的递交</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4.1响应文件的密封和标记</w:t>
      </w:r>
    </w:p>
    <w:p>
      <w:pPr>
        <w:spacing w:line="440" w:lineRule="exact"/>
        <w:ind w:firstLine="420"/>
        <w:rPr>
          <w:rFonts w:hint="eastAsia" w:ascii="Times New Roman" w:hAnsi="Times New Roman" w:cs="Times New Roman"/>
          <w:highlight w:val="none"/>
          <w:lang w:val="en-US" w:eastAsia="zh-CN"/>
        </w:rPr>
      </w:pPr>
      <w:r>
        <w:rPr>
          <w:rFonts w:ascii="Times New Roman" w:hAnsi="Times New Roman" w:cs="Times New Roman"/>
          <w:highlight w:val="none"/>
        </w:rPr>
        <w:t>4.1.1响应文件</w:t>
      </w:r>
      <w:r>
        <w:rPr>
          <w:rFonts w:hint="eastAsia" w:ascii="Times New Roman" w:hAnsi="Times New Roman" w:cs="Times New Roman"/>
          <w:highlight w:val="none"/>
        </w:rPr>
        <w:t>正、副本</w:t>
      </w:r>
      <w:r>
        <w:rPr>
          <w:rFonts w:ascii="Times New Roman" w:hAnsi="Times New Roman" w:cs="Times New Roman"/>
          <w:highlight w:val="none"/>
        </w:rPr>
        <w:t>应密封包装</w:t>
      </w:r>
      <w:r>
        <w:rPr>
          <w:rFonts w:hint="eastAsia" w:ascii="Times New Roman" w:hAnsi="Times New Roman" w:cs="Times New Roman"/>
          <w:highlight w:val="none"/>
        </w:rPr>
        <w:t>在一个封套内，</w:t>
      </w:r>
      <w:r>
        <w:rPr>
          <w:rFonts w:hint="eastAsia" w:ascii="Times New Roman" w:hAnsi="Times New Roman" w:cs="Times New Roman"/>
          <w:highlight w:val="none"/>
          <w:lang w:val="en-US" w:eastAsia="zh-CN"/>
        </w:rPr>
        <w:t>第一信封（商务及技术文件）与第二信封（报价文件）分开密封。</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val="en-US" w:eastAsia="zh-CN"/>
        </w:rPr>
        <w:t>响应文件第一信封（商务及技术文件）</w:t>
      </w:r>
      <w:r>
        <w:rPr>
          <w:rFonts w:hint="eastAsia" w:ascii="Times New Roman" w:hAnsi="Times New Roman" w:cs="Times New Roman"/>
          <w:highlight w:val="none"/>
        </w:rPr>
        <w:t>封套上注明：</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none"/>
          <w:lang w:val="en-US" w:eastAsia="zh-CN"/>
        </w:rPr>
        <w:t>第一信封（商务及技术文件）</w:t>
      </w:r>
      <w:r>
        <w:rPr>
          <w:rFonts w:hint="eastAsia" w:ascii="Times New Roman" w:hAnsi="Times New Roman" w:eastAsia="黑体" w:cs="黑体"/>
          <w:bCs/>
          <w:snapToGrid w:val="0"/>
          <w:kern w:val="0"/>
          <w:szCs w:val="21"/>
          <w:highlight w:val="none"/>
        </w:rPr>
        <w:t>响应文件</w:t>
      </w:r>
    </w:p>
    <w:p>
      <w:pPr>
        <w:spacing w:line="440" w:lineRule="exact"/>
        <w:ind w:firstLine="420"/>
        <w:rPr>
          <w:rFonts w:hint="eastAsia"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在</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年</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月</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日</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时</w:t>
      </w: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分（递交响应文件的截止时间）前不得开启</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lang w:val="en-US" w:eastAsia="zh-CN"/>
        </w:rPr>
        <w:t>响应文件第二信封（报价文件）</w:t>
      </w:r>
      <w:r>
        <w:rPr>
          <w:rFonts w:hint="eastAsia" w:ascii="Times New Roman" w:hAnsi="Times New Roman" w:cs="Times New Roman"/>
          <w:highlight w:val="none"/>
        </w:rPr>
        <w:t>封套上注明：</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rPr>
        <w:t>供应商名称：</w:t>
      </w:r>
      <w:r>
        <w:rPr>
          <w:rFonts w:hint="eastAsia" w:ascii="Times New Roman" w:hAnsi="Times New Roman" w:eastAsia="黑体" w:cs="黑体"/>
          <w:bCs/>
          <w:snapToGrid w:val="0"/>
          <w:kern w:val="0"/>
          <w:szCs w:val="21"/>
          <w:highlight w:val="none"/>
          <w:u w:val="single"/>
        </w:rPr>
        <w:t xml:space="preserve">            </w:t>
      </w:r>
    </w:p>
    <w:p>
      <w:pPr>
        <w:spacing w:line="440" w:lineRule="exact"/>
        <w:ind w:firstLine="420"/>
        <w:rPr>
          <w:rFonts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u w:val="single"/>
        </w:rPr>
        <w:t xml:space="preserve">            </w:t>
      </w:r>
      <w:r>
        <w:rPr>
          <w:rFonts w:hint="eastAsia" w:ascii="Times New Roman" w:hAnsi="Times New Roman" w:eastAsia="黑体" w:cs="黑体"/>
          <w:bCs/>
          <w:snapToGrid w:val="0"/>
          <w:kern w:val="0"/>
          <w:szCs w:val="21"/>
          <w:highlight w:val="none"/>
        </w:rPr>
        <w:t>(项目</w:t>
      </w:r>
      <w:r>
        <w:rPr>
          <w:rFonts w:hint="eastAsia" w:ascii="Times New Roman" w:hAnsi="Times New Roman" w:eastAsia="黑体" w:cs="黑体"/>
          <w:highlight w:val="none"/>
        </w:rPr>
        <w:t>名称</w:t>
      </w:r>
      <w:r>
        <w:rPr>
          <w:rFonts w:hint="eastAsia" w:ascii="Times New Roman" w:hAnsi="Times New Roman" w:eastAsia="黑体" w:cs="黑体"/>
          <w:bCs/>
          <w:snapToGrid w:val="0"/>
          <w:kern w:val="0"/>
          <w:szCs w:val="21"/>
          <w:highlight w:val="none"/>
        </w:rPr>
        <w:t>)</w:t>
      </w:r>
      <w:r>
        <w:rPr>
          <w:rFonts w:hint="eastAsia" w:ascii="Times New Roman" w:hAnsi="Times New Roman" w:eastAsia="黑体" w:cs="黑体"/>
          <w:bCs/>
          <w:snapToGrid w:val="0"/>
          <w:kern w:val="0"/>
          <w:szCs w:val="21"/>
          <w:highlight w:val="none"/>
          <w:u w:val="none"/>
          <w:lang w:val="en-US" w:eastAsia="zh-CN"/>
        </w:rPr>
        <w:t>第二信封（报价文件）</w:t>
      </w:r>
      <w:r>
        <w:rPr>
          <w:rFonts w:hint="eastAsia" w:ascii="Times New Roman" w:hAnsi="Times New Roman" w:eastAsia="黑体" w:cs="黑体"/>
          <w:bCs/>
          <w:snapToGrid w:val="0"/>
          <w:kern w:val="0"/>
          <w:szCs w:val="21"/>
          <w:highlight w:val="none"/>
        </w:rPr>
        <w:t>响应文件</w:t>
      </w:r>
    </w:p>
    <w:p>
      <w:pPr>
        <w:spacing w:line="440" w:lineRule="exact"/>
        <w:ind w:firstLine="420" w:firstLineChars="200"/>
        <w:jc w:val="both"/>
        <w:rPr>
          <w:rFonts w:hint="eastAsia" w:ascii="Times New Roman" w:hAnsi="Times New Roman" w:eastAsia="黑体" w:cs="黑体"/>
          <w:bCs/>
          <w:snapToGrid w:val="0"/>
          <w:kern w:val="0"/>
          <w:szCs w:val="21"/>
          <w:highlight w:val="none"/>
        </w:rPr>
      </w:pPr>
      <w:r>
        <w:rPr>
          <w:rFonts w:hint="eastAsia" w:ascii="Times New Roman" w:hAnsi="Times New Roman" w:eastAsia="黑体" w:cs="黑体"/>
          <w:bCs/>
          <w:snapToGrid w:val="0"/>
          <w:kern w:val="0"/>
          <w:szCs w:val="21"/>
          <w:highlight w:val="none"/>
          <w:lang w:val="en-US" w:eastAsia="zh-CN"/>
        </w:rPr>
        <w:t>在第一信封开启</w:t>
      </w:r>
      <w:r>
        <w:rPr>
          <w:rFonts w:hint="eastAsia" w:ascii="Times New Roman" w:hAnsi="Times New Roman" w:eastAsia="黑体" w:cs="黑体"/>
          <w:bCs/>
          <w:snapToGrid w:val="0"/>
          <w:kern w:val="0"/>
          <w:szCs w:val="21"/>
          <w:highlight w:val="none"/>
        </w:rPr>
        <w:t>前不得开启</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4.1.2</w:t>
      </w:r>
      <w:r>
        <w:rPr>
          <w:rFonts w:ascii="Times New Roman" w:hAnsi="Times New Roman"/>
          <w:highlight w:val="none"/>
        </w:rPr>
        <w:t>未按本章第4.1.1项</w:t>
      </w:r>
      <w:r>
        <w:rPr>
          <w:rFonts w:ascii="Times New Roman" w:hAnsi="Times New Roman" w:cs="Times New Roman"/>
          <w:highlight w:val="none"/>
        </w:rPr>
        <w:t>要求</w:t>
      </w:r>
      <w:r>
        <w:rPr>
          <w:rFonts w:ascii="Times New Roman" w:hAnsi="Times New Roman"/>
          <w:highlight w:val="none"/>
        </w:rPr>
        <w:t>密封的</w:t>
      </w:r>
      <w:r>
        <w:rPr>
          <w:rFonts w:hint="eastAsia" w:ascii="Times New Roman" w:hAnsi="Times New Roman"/>
          <w:highlight w:val="none"/>
        </w:rPr>
        <w:t>响应文件</w:t>
      </w:r>
      <w:r>
        <w:rPr>
          <w:rFonts w:ascii="Times New Roman" w:hAnsi="Times New Roman"/>
          <w:highlight w:val="none"/>
        </w:rPr>
        <w:t>，</w:t>
      </w:r>
      <w:r>
        <w:rPr>
          <w:rFonts w:hint="eastAsia" w:ascii="Times New Roman" w:hAnsi="Times New Roman"/>
          <w:highlight w:val="none"/>
        </w:rPr>
        <w:t>采购人</w:t>
      </w:r>
      <w:r>
        <w:rPr>
          <w:rFonts w:ascii="Times New Roman" w:hAnsi="Times New Roman"/>
          <w:highlight w:val="none"/>
        </w:rPr>
        <w:t>将予以拒收。</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4.2 响应文件的递交</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4.2.1供应商应当</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szCs w:val="21"/>
          <w:highlight w:val="none"/>
        </w:rPr>
        <w:t>第5条的规定递交响应文件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4.2.</w:t>
      </w:r>
      <w:r>
        <w:rPr>
          <w:rFonts w:hint="eastAsia" w:ascii="Times New Roman" w:hAnsi="Times New Roman" w:cs="Times New Roman"/>
          <w:highlight w:val="none"/>
        </w:rPr>
        <w:t>2</w:t>
      </w:r>
      <w:r>
        <w:rPr>
          <w:rFonts w:ascii="Times New Roman" w:hAnsi="Times New Roman" w:cs="Times New Roman"/>
          <w:highlight w:val="none"/>
        </w:rPr>
        <w:t xml:space="preserve"> </w:t>
      </w:r>
      <w:r>
        <w:rPr>
          <w:rFonts w:hint="eastAsia" w:ascii="Times New Roman" w:hAnsi="Times New Roman" w:cs="Times New Roman"/>
          <w:highlight w:val="none"/>
        </w:rPr>
        <w:t>递交响应文件的供应商数量不足3家时，采购人将宣布本次采购失败，并退还已递交的响应文件。</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4.2.3 除第4.2.2项规定外，</w:t>
      </w:r>
      <w:r>
        <w:rPr>
          <w:rFonts w:ascii="Times New Roman" w:hAnsi="Times New Roman" w:cs="Times New Roman"/>
          <w:highlight w:val="none"/>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 启封</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5.1 启封时间和地点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采购人在本章第4.2.1项规定的响应文件递交截止时间（启封时间），</w:t>
      </w:r>
      <w:r>
        <w:rPr>
          <w:rFonts w:hint="eastAsia" w:ascii="Times New Roman" w:hAnsi="Times New Roman" w:cs="Times New Roman"/>
          <w:highlight w:val="none"/>
        </w:rPr>
        <w:t>按照第一章</w:t>
      </w:r>
      <w:r>
        <w:rPr>
          <w:rFonts w:ascii="Times New Roman" w:hAnsi="Times New Roman" w:cs="Times New Roman"/>
          <w:highlight w:val="none"/>
        </w:rPr>
        <w:t>“</w:t>
      </w:r>
      <w:r>
        <w:rPr>
          <w:rFonts w:hint="eastAsia" w:ascii="Times New Roman" w:hAnsi="Times New Roman" w:cs="Times New Roman"/>
          <w:szCs w:val="21"/>
          <w:highlight w:val="none"/>
        </w:rPr>
        <w:t>采购公告</w:t>
      </w:r>
      <w:r>
        <w:rPr>
          <w:rFonts w:ascii="Times New Roman" w:hAnsi="Times New Roman" w:cs="Times New Roman"/>
          <w:szCs w:val="21"/>
          <w:highlight w:val="none"/>
        </w:rPr>
        <w:t>/</w:t>
      </w:r>
      <w:r>
        <w:rPr>
          <w:rFonts w:hint="eastAsia" w:ascii="Times New Roman" w:hAnsi="Times New Roman" w:cs="Times New Roman"/>
          <w:szCs w:val="21"/>
          <w:highlight w:val="none"/>
        </w:rPr>
        <w:t>采购邀请书</w:t>
      </w:r>
      <w:r>
        <w:rPr>
          <w:rFonts w:ascii="Times New Roman" w:hAnsi="Times New Roman" w:cs="Times New Roman"/>
          <w:highlight w:val="none"/>
        </w:rPr>
        <w:t>”</w:t>
      </w:r>
      <w:r>
        <w:rPr>
          <w:rFonts w:hint="eastAsia" w:ascii="Times New Roman" w:hAnsi="Times New Roman" w:cs="Times New Roman"/>
          <w:szCs w:val="21"/>
          <w:highlight w:val="none"/>
        </w:rPr>
        <w:t>第6条的规定进行启封</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5.2</w:t>
      </w:r>
      <w:r>
        <w:rPr>
          <w:rFonts w:hint="eastAsia" w:ascii="Times New Roman" w:hAnsi="Times New Roman" w:eastAsia="黑体" w:cs="Times New Roman"/>
          <w:bCs/>
          <w:sz w:val="24"/>
          <w:szCs w:val="32"/>
          <w:highlight w:val="none"/>
        </w:rPr>
        <w:t>启封</w:t>
      </w:r>
      <w:r>
        <w:rPr>
          <w:rFonts w:ascii="Times New Roman" w:hAnsi="Times New Roman" w:eastAsia="黑体" w:cs="Times New Roman"/>
          <w:bCs/>
          <w:sz w:val="24"/>
          <w:szCs w:val="32"/>
          <w:highlight w:val="none"/>
        </w:rPr>
        <w:t>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 xml:space="preserve">5.2.1主持人按下列程序进行启封：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（1）公布在响应文件递交截止时间</w:t>
      </w:r>
      <w:r>
        <w:rPr>
          <w:rFonts w:hint="eastAsia" w:ascii="Times New Roman" w:hAnsi="Times New Roman" w:cs="Times New Roman"/>
          <w:highlight w:val="none"/>
        </w:rPr>
        <w:t>前</w:t>
      </w:r>
      <w:r>
        <w:rPr>
          <w:rFonts w:ascii="Times New Roman" w:hAnsi="Times New Roman" w:cs="Times New Roman"/>
          <w:highlight w:val="none"/>
        </w:rPr>
        <w:t>递交响应文件的供应商名称；</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 xml:space="preserve">（2）由供应商推选的代表检查响应文件的密封情况；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highlight w:val="none"/>
        </w:rPr>
      </w:pPr>
      <w:r>
        <w:rPr>
          <w:rFonts w:ascii="Times New Roman" w:hAnsi="Times New Roman" w:cs="Times New Roman"/>
          <w:highlight w:val="none"/>
        </w:rPr>
        <w:t>（3）</w:t>
      </w:r>
      <w:r>
        <w:rPr>
          <w:rFonts w:hint="eastAsia" w:ascii="Times New Roman" w:hAnsi="Times New Roman" w:cs="Times New Roman"/>
          <w:bCs/>
          <w:highlight w:val="none"/>
          <w:lang w:val="en-US" w:eastAsia="zh-CN"/>
        </w:rPr>
        <w:t>开启商务及技术文件</w:t>
      </w:r>
      <w:r>
        <w:rPr>
          <w:rFonts w:ascii="Times New Roman" w:hAnsi="Times New Roman" w:cs="Times New Roman"/>
          <w:bCs/>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imes New Roman" w:hAnsi="Times New Roman" w:cs="Times New Roman"/>
          <w:bCs/>
          <w:highlight w:val="none"/>
          <w:lang w:val="en-US" w:eastAsia="zh-CN"/>
        </w:rPr>
      </w:pPr>
      <w:r>
        <w:rPr>
          <w:rFonts w:ascii="Times New Roman" w:hAnsi="Times New Roman" w:cs="Times New Roman"/>
          <w:bCs/>
          <w:highlight w:val="none"/>
        </w:rPr>
        <w:t>（</w:t>
      </w:r>
      <w:r>
        <w:rPr>
          <w:rFonts w:hint="eastAsia" w:ascii="Times New Roman" w:hAnsi="Times New Roman" w:cs="Times New Roman"/>
          <w:bCs/>
          <w:highlight w:val="none"/>
        </w:rPr>
        <w:t>4</w:t>
      </w:r>
      <w:r>
        <w:rPr>
          <w:rFonts w:ascii="Times New Roman" w:hAnsi="Times New Roman" w:cs="Times New Roman"/>
          <w:bCs/>
          <w:highlight w:val="none"/>
        </w:rPr>
        <w:t>）</w:t>
      </w:r>
      <w:r>
        <w:rPr>
          <w:rFonts w:hint="eastAsia" w:ascii="Times New Roman" w:hAnsi="Times New Roman" w:cs="Times New Roman"/>
          <w:bCs/>
          <w:highlight w:val="none"/>
          <w:lang w:val="en-US" w:eastAsia="zh-CN"/>
        </w:rPr>
        <w:t>开启报价文件；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bCs/>
          <w:highlight w:val="none"/>
        </w:rPr>
      </w:pPr>
      <w:r>
        <w:rPr>
          <w:rFonts w:ascii="Times New Roman" w:hAnsi="Times New Roman" w:cs="Times New Roman"/>
          <w:bCs/>
          <w:highlight w:val="none"/>
        </w:rPr>
        <w:t>（</w:t>
      </w:r>
      <w:r>
        <w:rPr>
          <w:rFonts w:hint="eastAsia" w:ascii="Times New Roman" w:hAnsi="Times New Roman" w:cs="Times New Roman"/>
          <w:bCs/>
          <w:highlight w:val="none"/>
        </w:rPr>
        <w:t>5</w:t>
      </w:r>
      <w:r>
        <w:rPr>
          <w:rFonts w:ascii="Times New Roman" w:hAnsi="Times New Roman" w:cs="Times New Roman"/>
          <w:bCs/>
          <w:highlight w:val="none"/>
        </w:rPr>
        <w:t>）</w:t>
      </w:r>
      <w:r>
        <w:rPr>
          <w:rFonts w:hint="eastAsia" w:ascii="Times New Roman" w:hAnsi="Times New Roman" w:cs="Times New Roman"/>
          <w:bCs/>
          <w:highlight w:val="none"/>
        </w:rPr>
        <w:t>启封</w:t>
      </w:r>
      <w:r>
        <w:rPr>
          <w:rFonts w:ascii="Times New Roman" w:hAnsi="Times New Roman" w:cs="Times New Roman"/>
          <w:highlight w:val="none"/>
        </w:rPr>
        <w:t>结束</w:t>
      </w:r>
      <w:r>
        <w:rPr>
          <w:rFonts w:ascii="Times New Roman" w:hAnsi="Times New Roman" w:cs="Times New Roman"/>
          <w:bCs/>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bCs/>
          <w:highlight w:val="none"/>
        </w:rPr>
        <w:t>5.2.2</w:t>
      </w:r>
      <w:r>
        <w:rPr>
          <w:rFonts w:ascii="Times New Roman" w:hAnsi="Times New Roman" w:cs="Times New Roman"/>
          <w:highlight w:val="none"/>
        </w:rPr>
        <w:t>供应商</w:t>
      </w:r>
      <w:r>
        <w:rPr>
          <w:rFonts w:hint="eastAsia" w:ascii="Times New Roman" w:hAnsi="Times New Roman" w:cs="Times New Roman"/>
          <w:highlight w:val="none"/>
        </w:rPr>
        <w:t>在</w:t>
      </w:r>
      <w:r>
        <w:rPr>
          <w:rFonts w:ascii="Times New Roman" w:hAnsi="Times New Roman" w:cs="Times New Roman"/>
          <w:highlight w:val="none"/>
        </w:rPr>
        <w:t>启封过程</w:t>
      </w:r>
      <w:r>
        <w:rPr>
          <w:rFonts w:hint="eastAsia" w:ascii="Times New Roman" w:hAnsi="Times New Roman" w:cs="Times New Roman"/>
          <w:highlight w:val="none"/>
        </w:rPr>
        <w:t>中</w:t>
      </w:r>
      <w:r>
        <w:rPr>
          <w:rFonts w:ascii="Times New Roman" w:hAnsi="Times New Roman" w:cs="Times New Roman"/>
          <w:highlight w:val="none"/>
        </w:rPr>
        <w:t>有</w:t>
      </w:r>
      <w:r>
        <w:rPr>
          <w:rFonts w:hint="eastAsia" w:ascii="Times New Roman" w:hAnsi="Times New Roman" w:cs="Times New Roman"/>
          <w:highlight w:val="none"/>
        </w:rPr>
        <w:t>疑问</w:t>
      </w:r>
      <w:r>
        <w:rPr>
          <w:rFonts w:ascii="Times New Roman" w:hAnsi="Times New Roman" w:cs="Times New Roman"/>
          <w:highlight w:val="none"/>
        </w:rPr>
        <w:t>的，应当在</w:t>
      </w:r>
      <w:r>
        <w:rPr>
          <w:rFonts w:hint="eastAsia" w:ascii="Times New Roman" w:hAnsi="Times New Roman" w:cs="Times New Roman"/>
          <w:highlight w:val="none"/>
        </w:rPr>
        <w:t>现场</w:t>
      </w:r>
      <w:r>
        <w:rPr>
          <w:rFonts w:ascii="Times New Roman" w:hAnsi="Times New Roman" w:cs="Times New Roman"/>
          <w:highlight w:val="none"/>
        </w:rPr>
        <w:t>提出</w:t>
      </w:r>
      <w:r>
        <w:rPr>
          <w:rFonts w:hint="eastAsia" w:ascii="Times New Roman" w:hAnsi="Times New Roman" w:cs="Times New Roman"/>
          <w:highlight w:val="none"/>
        </w:rPr>
        <w:t>，</w:t>
      </w:r>
      <w:r>
        <w:rPr>
          <w:rFonts w:ascii="Times New Roman" w:hAnsi="Times New Roman" w:cs="Times New Roman"/>
          <w:highlight w:val="none"/>
        </w:rPr>
        <w:t>采购人</w:t>
      </w:r>
      <w:r>
        <w:rPr>
          <w:rFonts w:hint="eastAsia" w:ascii="Times New Roman" w:hAnsi="Times New Roman" w:cs="Times New Roman"/>
          <w:highlight w:val="none"/>
        </w:rPr>
        <w:t>将</w:t>
      </w:r>
      <w:r>
        <w:rPr>
          <w:rFonts w:ascii="Times New Roman" w:hAnsi="Times New Roman" w:cs="Times New Roman"/>
          <w:highlight w:val="none"/>
        </w:rPr>
        <w:t>当场作出答复。</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 评审</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6.1</w:t>
      </w:r>
      <w:r>
        <w:rPr>
          <w:rFonts w:hint="eastAsia" w:ascii="Times New Roman" w:hAnsi="Times New Roman" w:eastAsia="黑体" w:cs="Times New Roman"/>
          <w:bCs/>
          <w:sz w:val="24"/>
          <w:szCs w:val="32"/>
          <w:highlight w:val="none"/>
        </w:rPr>
        <w:t>评审小组</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评审由采购人</w:t>
      </w:r>
      <w:r>
        <w:rPr>
          <w:rFonts w:hint="eastAsia" w:ascii="Times New Roman" w:hAnsi="Times New Roman" w:cs="Times New Roman"/>
          <w:highlight w:val="none"/>
        </w:rPr>
        <w:t>自行</w:t>
      </w:r>
      <w:r>
        <w:rPr>
          <w:rFonts w:ascii="Times New Roman" w:hAnsi="Times New Roman" w:cs="Times New Roman"/>
          <w:highlight w:val="none"/>
        </w:rPr>
        <w:t>组建的</w:t>
      </w:r>
      <w:r>
        <w:rPr>
          <w:rFonts w:hint="eastAsia" w:ascii="Times New Roman" w:hAnsi="Times New Roman" w:cs="Times New Roman"/>
          <w:highlight w:val="none"/>
        </w:rPr>
        <w:t>评审小组</w:t>
      </w:r>
      <w:r>
        <w:rPr>
          <w:rFonts w:ascii="Times New Roman" w:hAnsi="Times New Roman" w:cs="Times New Roman"/>
          <w:highlight w:val="none"/>
        </w:rPr>
        <w:t>负责。</w:t>
      </w:r>
      <w:r>
        <w:rPr>
          <w:rFonts w:hint="eastAsia" w:ascii="Times New Roman" w:hAnsi="Times New Roman" w:cs="Times New Roman"/>
          <w:highlight w:val="none"/>
        </w:rPr>
        <w:t>评审小组人数：</w:t>
      </w:r>
      <w:r>
        <w:rPr>
          <w:rFonts w:hint="eastAsia" w:ascii="Times New Roman" w:hAnsi="Times New Roman" w:cs="Times New Roman"/>
          <w:highlight w:val="none"/>
          <w:lang w:val="en-US" w:eastAsia="zh-CN"/>
        </w:rPr>
        <w:t>5人及以上单数</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6.</w:t>
      </w:r>
      <w:r>
        <w:rPr>
          <w:rFonts w:hint="eastAsia" w:ascii="Times New Roman" w:hAnsi="Times New Roman" w:eastAsia="黑体" w:cs="Times New Roman"/>
          <w:bCs/>
          <w:sz w:val="24"/>
          <w:szCs w:val="32"/>
          <w:highlight w:val="none"/>
        </w:rPr>
        <w:t>2</w:t>
      </w:r>
      <w:r>
        <w:rPr>
          <w:rFonts w:ascii="Times New Roman" w:hAnsi="Times New Roman" w:eastAsia="黑体" w:cs="Times New Roman"/>
          <w:bCs/>
          <w:sz w:val="24"/>
          <w:szCs w:val="32"/>
          <w:highlight w:val="none"/>
        </w:rPr>
        <w:t>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.1</w:t>
      </w:r>
      <w:r>
        <w:rPr>
          <w:rFonts w:hint="eastAsia" w:ascii="Times New Roman" w:hAnsi="Times New Roman" w:cs="Times New Roman"/>
          <w:highlight w:val="none"/>
        </w:rPr>
        <w:t>评审小组</w:t>
      </w:r>
      <w:r>
        <w:rPr>
          <w:rFonts w:ascii="Times New Roman" w:hAnsi="Times New Roman" w:cs="Times New Roman"/>
          <w:highlight w:val="none"/>
        </w:rPr>
        <w:t>按照第三章“评审办法”规定的方法、评审因素、标准和程序对响应文件进行评审。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6.</w:t>
      </w:r>
      <w:r>
        <w:rPr>
          <w:rFonts w:hint="eastAsia" w:ascii="Times New Roman" w:hAnsi="Times New Roman" w:cs="Times New Roman"/>
          <w:highlight w:val="none"/>
        </w:rPr>
        <w:t>2</w:t>
      </w:r>
      <w:r>
        <w:rPr>
          <w:rFonts w:ascii="Times New Roman" w:hAnsi="Times New Roman" w:cs="Times New Roman"/>
          <w:highlight w:val="none"/>
        </w:rPr>
        <w:t>.2评审完成后，</w:t>
      </w:r>
      <w:r>
        <w:rPr>
          <w:rFonts w:hint="eastAsia" w:ascii="Times New Roman" w:hAnsi="Times New Roman" w:cs="Times New Roman"/>
          <w:highlight w:val="none"/>
        </w:rPr>
        <w:t>评审小组</w:t>
      </w:r>
      <w:r>
        <w:rPr>
          <w:rFonts w:ascii="Times New Roman" w:hAnsi="Times New Roman" w:cs="Times New Roman"/>
          <w:highlight w:val="none"/>
        </w:rPr>
        <w:t>应向采购人提交书面评审报告和成交候选人名单。</w:t>
      </w:r>
      <w:r>
        <w:rPr>
          <w:rFonts w:hint="eastAsia" w:ascii="Times New Roman" w:hAnsi="Times New Roman" w:cs="Times New Roman"/>
          <w:highlight w:val="none"/>
        </w:rPr>
        <w:t>评审小组</w:t>
      </w:r>
      <w:r>
        <w:rPr>
          <w:rFonts w:ascii="Times New Roman" w:hAnsi="Times New Roman" w:cs="Times New Roman"/>
          <w:highlight w:val="none"/>
        </w:rPr>
        <w:t>推荐成交候选人的人数</w:t>
      </w:r>
      <w:r>
        <w:rPr>
          <w:rFonts w:hint="eastAsia" w:ascii="Times New Roman" w:hAnsi="Times New Roman" w:cs="Times New Roman"/>
          <w:highlight w:val="none"/>
        </w:rPr>
        <w:t>为：3人（如不足3人，可以按实际数量推荐）</w:t>
      </w:r>
      <w:r>
        <w:rPr>
          <w:rFonts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 合同授予</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7.1成交候选人公示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采用公开询比方式采购的项目，公示期不得少于</w:t>
      </w:r>
      <w:r>
        <w:rPr>
          <w:rFonts w:hint="eastAsia" w:ascii="Times New Roman" w:hAnsi="Times New Roman" w:cs="Times New Roman"/>
          <w:highlight w:val="none"/>
        </w:rPr>
        <w:t>3</w:t>
      </w:r>
      <w:r>
        <w:rPr>
          <w:rFonts w:ascii="Times New Roman" w:hAnsi="Times New Roman" w:cs="Times New Roman"/>
          <w:highlight w:val="none"/>
        </w:rPr>
        <w:t>日。</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7.2评审结果异议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7.3成交候选人履约能力审查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成交候选人的经营、财务状况发生较大变化或存在违法行为，采购人认为可能影响其履约能力的，将在发出成交通知书前提请原</w:t>
      </w:r>
      <w:r>
        <w:rPr>
          <w:rFonts w:hint="eastAsia" w:ascii="Times New Roman" w:hAnsi="Times New Roman" w:cs="Times New Roman"/>
          <w:highlight w:val="none"/>
        </w:rPr>
        <w:t>评审小组</w:t>
      </w:r>
      <w:r>
        <w:rPr>
          <w:rFonts w:ascii="Times New Roman" w:hAnsi="Times New Roman" w:cs="Times New Roman"/>
          <w:highlight w:val="none"/>
        </w:rPr>
        <w:t>按照询比文件规定的标准和方法进行审查确认。</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7.4履约保证金</w:t>
      </w:r>
    </w:p>
    <w:p>
      <w:pPr>
        <w:ind w:firstLine="420" w:firstLineChars="200"/>
        <w:rPr>
          <w:rFonts w:ascii="Times New Roman" w:hAnsi="Times New Roman" w:cs="Times New Roman"/>
          <w:highlight w:val="none"/>
        </w:rPr>
      </w:pPr>
      <w:r>
        <w:rPr>
          <w:rFonts w:ascii="Times New Roman" w:hAnsi="Times New Roman" w:cs="Times New Roman"/>
          <w:highlight w:val="none"/>
        </w:rPr>
        <w:t>7.4.1</w:t>
      </w:r>
      <w:r>
        <w:rPr>
          <w:rFonts w:hint="eastAsia" w:ascii="宋体" w:hAnsi="宋体" w:eastAsia="宋体" w:cs="宋体"/>
          <w:kern w:val="2"/>
          <w:sz w:val="21"/>
          <w:szCs w:val="21"/>
          <w:highlight w:val="none"/>
          <w:lang w:val="en-US" w:eastAsia="zh-CN" w:bidi="ar-SA"/>
        </w:rPr>
        <w:t>中标后，响应保证金自动转为履约保证金。</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Times New Roman" w:hAnsi="Times New Roman" w:cs="Times New Roman"/>
          <w:highlight w:val="none"/>
        </w:rPr>
      </w:pPr>
      <w:r>
        <w:rPr>
          <w:rFonts w:ascii="Times New Roman" w:hAnsi="Times New Roman" w:cs="Times New Roman"/>
          <w:highlight w:val="none"/>
        </w:rPr>
        <w:t>7.4.2 成交人不能按本章第7.</w:t>
      </w:r>
      <w:r>
        <w:rPr>
          <w:rFonts w:hint="eastAsia" w:ascii="Times New Roman" w:hAnsi="Times New Roman" w:cs="Times New Roman"/>
          <w:highlight w:val="none"/>
        </w:rPr>
        <w:t>4</w:t>
      </w:r>
      <w:r>
        <w:rPr>
          <w:rFonts w:ascii="Times New Roman" w:hAnsi="Times New Roman" w:cs="Times New Roman"/>
          <w:highlight w:val="none"/>
        </w:rPr>
        <w:t>.1项要求提交履约保证金的，视为放弃成交候选人，其响应保证金不予退还，给采购人造成的损失超过响应保证金数额的，成交人还应当对超过部分予以赔偿。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highlight w:val="none"/>
        </w:rPr>
      </w:pPr>
      <w:r>
        <w:rPr>
          <w:rFonts w:hint="eastAsia" w:ascii="Times New Roman" w:hAnsi="Times New Roman" w:cs="Times New Roman"/>
          <w:highlight w:val="none"/>
        </w:rPr>
        <w:t>7.4.3履约保证金在</w:t>
      </w:r>
      <w:r>
        <w:rPr>
          <w:rFonts w:hint="eastAsia" w:ascii="宋体" w:hAnsi="宋体" w:eastAsia="宋体" w:cs="宋体"/>
          <w:kern w:val="2"/>
          <w:sz w:val="21"/>
          <w:szCs w:val="21"/>
          <w:highlight w:val="none"/>
          <w:lang w:val="en-US" w:eastAsia="zh-CN" w:bidi="ar-SA"/>
        </w:rPr>
        <w:t>该项目物资供应整体验收完成后28天内无息退还。</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7.5签订合同</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采购人和成交人应在响应有效期内以及成交通知书发出之日起30日内，根据询比文件和成交人的响应文件订立书面合同。成交人无正当理由拒签合同，在签订合同时向采购人提出附加条件，或不按照询比文件要求提交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8. 纪律和监督</w:t>
      </w:r>
    </w:p>
    <w:p>
      <w:pPr>
        <w:keepNext/>
        <w:keepLines/>
        <w:spacing w:before="120" w:after="120"/>
        <w:outlineLvl w:val="2"/>
        <w:rPr>
          <w:rFonts w:hint="eastAsia" w:ascii="Times New Roman" w:hAnsi="Times New Roman" w:eastAsia="黑体" w:cs="Times New Roman"/>
          <w:bCs/>
          <w:sz w:val="24"/>
          <w:szCs w:val="32"/>
          <w:highlight w:val="none"/>
        </w:rPr>
      </w:pPr>
      <w:r>
        <w:rPr>
          <w:rFonts w:hint="eastAsia" w:ascii="Times New Roman" w:hAnsi="Times New Roman" w:eastAsia="黑体" w:cs="Times New Roman"/>
          <w:bCs/>
          <w:sz w:val="24"/>
          <w:szCs w:val="32"/>
          <w:highlight w:val="none"/>
          <w:lang w:val="en-US" w:eastAsia="zh-CN"/>
        </w:rPr>
        <w:t xml:space="preserve">8.1 </w:t>
      </w:r>
      <w:r>
        <w:rPr>
          <w:rFonts w:hint="eastAsia" w:ascii="Times New Roman" w:hAnsi="Times New Roman" w:eastAsia="黑体" w:cs="Times New Roman"/>
          <w:bCs/>
          <w:sz w:val="24"/>
          <w:szCs w:val="32"/>
          <w:highlight w:val="none"/>
        </w:rPr>
        <w:t>对</w:t>
      </w:r>
      <w:r>
        <w:rPr>
          <w:rFonts w:hint="eastAsia" w:ascii="Times New Roman" w:hAnsi="Times New Roman" w:eastAsia="黑体" w:cs="Times New Roman"/>
          <w:bCs/>
          <w:sz w:val="24"/>
          <w:szCs w:val="32"/>
          <w:highlight w:val="none"/>
          <w:lang w:eastAsia="zh-CN"/>
        </w:rPr>
        <w:t>采购</w:t>
      </w:r>
      <w:r>
        <w:rPr>
          <w:rFonts w:hint="eastAsia" w:ascii="Times New Roman" w:hAnsi="Times New Roman" w:eastAsia="黑体" w:cs="Times New Roman"/>
          <w:bCs/>
          <w:sz w:val="24"/>
          <w:szCs w:val="32"/>
          <w:highlight w:val="none"/>
        </w:rPr>
        <w:t>人的纪律要求</w:t>
      </w:r>
    </w:p>
    <w:p>
      <w:pPr>
        <w:spacing w:line="440" w:lineRule="exact"/>
        <w:ind w:firstLine="420"/>
        <w:rPr>
          <w:rFonts w:hint="eastAsia" w:ascii="Times New Roman" w:hAnsi="Times New Roman" w:cs="Times New Roman"/>
          <w:highlight w:val="none"/>
          <w:lang w:val="en-US" w:eastAsia="zh-CN"/>
        </w:rPr>
      </w:pPr>
      <w:r>
        <w:rPr>
          <w:rFonts w:hint="eastAsia" w:ascii="Times New Roman" w:hAnsi="Times New Roman" w:cs="Times New Roman"/>
          <w:highlight w:val="none"/>
          <w:lang w:eastAsia="zh-CN"/>
        </w:rPr>
        <w:t>采购</w:t>
      </w:r>
      <w:r>
        <w:rPr>
          <w:rFonts w:hint="eastAsia" w:ascii="Times New Roman" w:hAnsi="Times New Roman" w:cs="Times New Roman"/>
          <w:highlight w:val="none"/>
        </w:rPr>
        <w:t>人不得泄露</w:t>
      </w:r>
      <w:r>
        <w:rPr>
          <w:rFonts w:hint="eastAsia" w:ascii="Times New Roman" w:hAnsi="Times New Roman" w:cs="Times New Roman"/>
          <w:highlight w:val="none"/>
          <w:lang w:eastAsia="zh-CN"/>
        </w:rPr>
        <w:t>采购</w:t>
      </w:r>
      <w:r>
        <w:rPr>
          <w:rFonts w:hint="eastAsia" w:ascii="Times New Roman" w:hAnsi="Times New Roman" w:cs="Times New Roman"/>
          <w:highlight w:val="none"/>
        </w:rPr>
        <w:t>活动中应当保密的情况和资料， 不得与</w:t>
      </w:r>
      <w:r>
        <w:rPr>
          <w:rFonts w:hint="eastAsia" w:ascii="Times New Roman" w:hAnsi="Times New Roman" w:cs="Times New Roman"/>
          <w:highlight w:val="none"/>
          <w:lang w:eastAsia="zh-CN"/>
        </w:rPr>
        <w:t>响应供应商</w:t>
      </w:r>
      <w:r>
        <w:rPr>
          <w:rFonts w:hint="eastAsia" w:ascii="Times New Roman" w:hAnsi="Times New Roman" w:cs="Times New Roman"/>
          <w:highlight w:val="none"/>
        </w:rPr>
        <w:t>串通损害国家利益、社会公共利益或者他人合法权益。</w:t>
      </w:r>
    </w:p>
    <w:p>
      <w:pPr>
        <w:keepNext/>
        <w:keepLines/>
        <w:spacing w:before="120" w:after="120"/>
        <w:outlineLvl w:val="2"/>
        <w:rPr>
          <w:rFonts w:hint="default" w:ascii="Times New Roman" w:hAnsi="Times New Roman" w:eastAsia="黑体" w:cs="Times New Roman"/>
          <w:bCs/>
          <w:sz w:val="24"/>
          <w:szCs w:val="32"/>
          <w:highlight w:val="none"/>
          <w:lang w:val="en-US" w:eastAsia="zh-CN"/>
        </w:rPr>
      </w:pPr>
      <w:r>
        <w:rPr>
          <w:rFonts w:hint="eastAsia" w:ascii="Times New Roman" w:hAnsi="Times New Roman" w:eastAsia="黑体" w:cs="Times New Roman"/>
          <w:bCs/>
          <w:sz w:val="24"/>
          <w:szCs w:val="32"/>
          <w:highlight w:val="none"/>
          <w:lang w:val="en-US" w:eastAsia="zh-CN"/>
        </w:rPr>
        <w:t>8.2对响应供应商的纪律要求</w:t>
      </w:r>
    </w:p>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t>供应商不得相互串通报价或与采购人串通报价，不得向采购人或评审小组成员行贿谋取成交，不得以他人名义报价或以其他方式弄虚作假骗取成交；供应商不得以任何方式干扰、影响评审工作。</w:t>
      </w:r>
    </w:p>
    <w:p>
      <w:pPr>
        <w:keepNext/>
        <w:keepLines/>
        <w:spacing w:before="120" w:after="120"/>
        <w:outlineLvl w:val="2"/>
        <w:rPr>
          <w:rFonts w:hint="eastAsia" w:ascii="Times New Roman" w:hAnsi="Times New Roman" w:eastAsia="黑体" w:cs="Times New Roman"/>
          <w:bCs/>
          <w:sz w:val="24"/>
          <w:szCs w:val="32"/>
          <w:highlight w:val="none"/>
          <w:lang w:val="en-US" w:eastAsia="zh-CN"/>
        </w:rPr>
      </w:pPr>
      <w:r>
        <w:rPr>
          <w:rFonts w:hint="eastAsia" w:ascii="Times New Roman" w:hAnsi="Times New Roman" w:eastAsia="黑体" w:cs="Times New Roman"/>
          <w:bCs/>
          <w:sz w:val="24"/>
          <w:szCs w:val="32"/>
          <w:highlight w:val="none"/>
          <w:lang w:val="en-US" w:eastAsia="zh-CN"/>
        </w:rPr>
        <w:t>8.3 对评审小组成员的纪律要求</w:t>
      </w:r>
    </w:p>
    <w:p>
      <w:pPr>
        <w:spacing w:line="440" w:lineRule="exact"/>
        <w:ind w:firstLine="420"/>
        <w:rPr>
          <w:rFonts w:hint="default" w:ascii="Times New Roman" w:hAnsi="Times New Roman" w:cs="Times New Roman"/>
          <w:highlight w:val="none"/>
          <w:lang w:val="en-US" w:eastAsia="zh-CN"/>
        </w:rPr>
      </w:pPr>
      <w:r>
        <w:rPr>
          <w:rFonts w:hint="eastAsia" w:ascii="Times New Roman" w:hAnsi="Times New Roman" w:cs="Times New Roman"/>
          <w:highlight w:val="none"/>
          <w:lang w:eastAsia="zh-CN"/>
        </w:rPr>
        <w:t>评审小组</w:t>
      </w:r>
      <w:r>
        <w:rPr>
          <w:rFonts w:hint="eastAsia" w:ascii="Times New Roman" w:hAnsi="Times New Roman" w:cs="Times New Roman"/>
          <w:highlight w:val="none"/>
        </w:rPr>
        <w:t>成员不得收受他人的财物或者其他好处，不得向他人透露对</w:t>
      </w:r>
      <w:r>
        <w:rPr>
          <w:rFonts w:hint="eastAsia" w:ascii="Times New Roman" w:hAnsi="Times New Roman" w:cs="Times New Roman"/>
          <w:highlight w:val="none"/>
          <w:lang w:eastAsia="zh-CN"/>
        </w:rPr>
        <w:t>响应</w:t>
      </w:r>
      <w:r>
        <w:rPr>
          <w:rFonts w:hint="eastAsia" w:ascii="Times New Roman" w:hAnsi="Times New Roman" w:cs="Times New Roman"/>
          <w:highlight w:val="none"/>
        </w:rPr>
        <w:t>文件的评审和比较、中标候选人的推荐情况以及</w:t>
      </w:r>
      <w:r>
        <w:rPr>
          <w:rFonts w:hint="eastAsia" w:ascii="Times New Roman" w:hAnsi="Times New Roman" w:cs="Times New Roman"/>
          <w:highlight w:val="none"/>
          <w:lang w:eastAsia="zh-CN"/>
        </w:rPr>
        <w:t>评审</w:t>
      </w:r>
      <w:r>
        <w:rPr>
          <w:rFonts w:hint="eastAsia" w:ascii="Times New Roman" w:hAnsi="Times New Roman" w:cs="Times New Roman"/>
          <w:highlight w:val="none"/>
        </w:rPr>
        <w:t>有关的其他情况。在</w:t>
      </w:r>
      <w:r>
        <w:rPr>
          <w:rFonts w:hint="eastAsia" w:ascii="Times New Roman" w:hAnsi="Times New Roman" w:cs="Times New Roman"/>
          <w:highlight w:val="none"/>
          <w:lang w:eastAsia="zh-CN"/>
        </w:rPr>
        <w:t>评审</w:t>
      </w:r>
      <w:r>
        <w:rPr>
          <w:rFonts w:hint="eastAsia" w:ascii="Times New Roman" w:hAnsi="Times New Roman" w:cs="Times New Roman"/>
          <w:highlight w:val="none"/>
        </w:rPr>
        <w:t>活动中，</w:t>
      </w:r>
      <w:r>
        <w:rPr>
          <w:rFonts w:hint="eastAsia" w:ascii="Times New Roman" w:hAnsi="Times New Roman" w:cs="Times New Roman"/>
          <w:highlight w:val="none"/>
          <w:lang w:eastAsia="zh-CN"/>
        </w:rPr>
        <w:t>评审小组</w:t>
      </w:r>
      <w:r>
        <w:rPr>
          <w:rFonts w:hint="eastAsia" w:ascii="Times New Roman" w:hAnsi="Times New Roman" w:cs="Times New Roman"/>
          <w:highlight w:val="none"/>
        </w:rPr>
        <w:t>成员应当客观、公正地履行职责，遵守职业道德，不得擅离职守，影响评标程序正常进行，不得使用第三章“</w:t>
      </w:r>
      <w:r>
        <w:rPr>
          <w:rFonts w:hint="eastAsia" w:ascii="Times New Roman" w:hAnsi="Times New Roman" w:cs="Times New Roman"/>
          <w:highlight w:val="none"/>
          <w:lang w:eastAsia="zh-CN"/>
        </w:rPr>
        <w:t>评审</w:t>
      </w:r>
      <w:r>
        <w:rPr>
          <w:rFonts w:hint="eastAsia" w:ascii="Times New Roman" w:hAnsi="Times New Roman" w:cs="Times New Roman"/>
          <w:highlight w:val="none"/>
        </w:rPr>
        <w:t>办法”没有规定的评审因素和标准进行</w:t>
      </w:r>
      <w:r>
        <w:rPr>
          <w:rFonts w:hint="eastAsia" w:ascii="Times New Roman" w:hAnsi="Times New Roman" w:cs="Times New Roman"/>
          <w:highlight w:val="none"/>
          <w:lang w:eastAsia="zh-CN"/>
        </w:rPr>
        <w:t>评审</w:t>
      </w:r>
      <w:r>
        <w:rPr>
          <w:rFonts w:hint="eastAsia" w:ascii="Times New Roman" w:hAnsi="Times New Roman" w:cs="Times New Roman"/>
          <w:highlight w:val="none"/>
        </w:rPr>
        <w:t>。</w:t>
      </w:r>
    </w:p>
    <w:p>
      <w:pPr>
        <w:keepNext/>
        <w:keepLines/>
        <w:spacing w:before="156" w:beforeLines="50" w:after="156" w:afterLines="50"/>
        <w:outlineLvl w:val="1"/>
        <w:rPr>
          <w:rFonts w:ascii="Times New Roman" w:hAnsi="Times New Roman" w:eastAsia="黑体" w:cs="Times New Roman"/>
          <w:bCs/>
          <w:sz w:val="24"/>
          <w:szCs w:val="32"/>
          <w:highlight w:val="none"/>
        </w:rPr>
      </w:pPr>
      <w:r>
        <w:rPr>
          <w:rFonts w:hint="eastAsia" w:ascii="Times New Roman" w:hAnsi="Times New Roman" w:eastAsia="黑体" w:cs="Times New Roman"/>
          <w:bCs/>
          <w:sz w:val="24"/>
          <w:szCs w:val="32"/>
          <w:highlight w:val="none"/>
        </w:rPr>
        <w:t xml:space="preserve">9. </w:t>
      </w:r>
      <w:r>
        <w:rPr>
          <w:rFonts w:ascii="Times New Roman" w:hAnsi="Times New Roman" w:eastAsia="黑体" w:cs="Times New Roman"/>
          <w:bCs/>
          <w:sz w:val="24"/>
          <w:szCs w:val="32"/>
          <w:highlight w:val="none"/>
        </w:rPr>
        <w:t>需要补充的其他内容</w:t>
      </w:r>
    </w:p>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t>需要补充的其他内容：见供应商须知前附表。</w:t>
      </w:r>
    </w:p>
    <w:bookmarkEnd w:id="50"/>
    <w:bookmarkEnd w:id="51"/>
    <w:bookmarkEnd w:id="52"/>
    <w:p>
      <w:pPr>
        <w:spacing w:line="440" w:lineRule="exact"/>
        <w:ind w:firstLine="420"/>
        <w:rPr>
          <w:rFonts w:hint="eastAsia" w:ascii="Times New Roman" w:hAnsi="Times New Roman" w:cs="Times New Roman"/>
          <w:highlight w:val="none"/>
        </w:rPr>
      </w:pPr>
      <w:r>
        <w:rPr>
          <w:rFonts w:hint="eastAsia" w:ascii="Times New Roman" w:hAnsi="Times New Roman" w:cs="Times New Roman"/>
          <w:highlight w:val="none"/>
        </w:rPr>
        <w:br w:type="page"/>
      </w:r>
    </w:p>
    <w:p>
      <w:pPr>
        <w:pStyle w:val="5"/>
        <w:spacing w:before="312" w:after="312"/>
        <w:rPr>
          <w:rFonts w:ascii="Times New Roman" w:hAnsi="Times New Roman" w:eastAsia="宋体" w:cs="Times New Roman"/>
          <w:highlight w:val="none"/>
        </w:rPr>
      </w:pPr>
      <w:bookmarkStart w:id="53" w:name="_Toc6237"/>
      <w:r>
        <w:rPr>
          <w:rFonts w:ascii="Times New Roman" w:hAnsi="Times New Roman" w:eastAsia="宋体" w:cs="Times New Roman"/>
          <w:highlight w:val="none"/>
        </w:rPr>
        <w:t>评审办法</w:t>
      </w:r>
      <w:bookmarkEnd w:id="53"/>
    </w:p>
    <w:p>
      <w:pPr>
        <w:rPr>
          <w:rFonts w:ascii="Times New Roman" w:hAnsi="Times New Roman" w:eastAsia="宋体" w:cs="Times New Roman"/>
          <w:highlight w:val="none"/>
          <w:vertAlign w:val="baseline"/>
        </w:rPr>
      </w:pPr>
    </w:p>
    <w:p>
      <w:pPr>
        <w:rPr>
          <w:rFonts w:ascii="Times New Roman" w:hAnsi="Times New Roman" w:eastAsia="宋体" w:cs="Times New Roman"/>
          <w:highlight w:val="none"/>
        </w:rPr>
        <w:sectPr>
          <w:footerReference r:id="rId5"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afterLines="100" w:line="420" w:lineRule="exact"/>
        <w:jc w:val="center"/>
        <w:rPr>
          <w:rFonts w:ascii="Times New Roman" w:hAnsi="Times New Roman" w:eastAsia="黑体" w:cs="Times New Roman"/>
          <w:sz w:val="28"/>
          <w:szCs w:val="28"/>
          <w:highlight w:val="none"/>
        </w:rPr>
      </w:pPr>
      <w:bookmarkStart w:id="54" w:name="_Toc447808662"/>
      <w:bookmarkStart w:id="55" w:name="_Toc152045528"/>
      <w:bookmarkStart w:id="56" w:name="_Toc457482536"/>
      <w:bookmarkStart w:id="57" w:name="_Toc3834"/>
      <w:bookmarkStart w:id="58" w:name="_Toc14847"/>
      <w:bookmarkStart w:id="59" w:name="_Toc144974496"/>
      <w:bookmarkStart w:id="60" w:name="_Toc152042304"/>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技术评分最低价法</w:t>
      </w:r>
      <w:r>
        <w:rPr>
          <w:rFonts w:hint="eastAsia" w:ascii="Times New Roman" w:hAnsi="Times New Roman" w:eastAsia="黑体" w:cs="Times New Roman"/>
          <w:color w:val="auto"/>
          <w:sz w:val="28"/>
          <w:szCs w:val="28"/>
          <w:highlight w:val="none"/>
          <w:lang w:eastAsia="zh-CN"/>
        </w:rPr>
        <w:t>）</w:t>
      </w:r>
    </w:p>
    <w:p>
      <w:pPr>
        <w:pStyle w:val="32"/>
        <w:numPr>
          <w:ilvl w:val="0"/>
          <w:numId w:val="0"/>
        </w:numPr>
        <w:spacing w:before="0"/>
        <w:outlineLvl w:val="9"/>
        <w:rPr>
          <w:rFonts w:hint="default" w:ascii="Times New Roman" w:hAnsi="Times New Roman" w:eastAsia="黑体" w:cs="Times New Roman"/>
          <w:color w:val="auto"/>
          <w:sz w:val="28"/>
          <w:szCs w:val="28"/>
          <w:highlight w:val="none"/>
          <w:lang w:val="en-US" w:eastAsia="zh-CN"/>
        </w:rPr>
      </w:pPr>
      <w:r>
        <w:rPr>
          <w:rFonts w:hint="eastAsia" w:ascii="宋体" w:hAnsi="宋体" w:eastAsia="宋体"/>
          <w:b/>
          <w:bCs/>
          <w:szCs w:val="28"/>
          <w:highlight w:val="none"/>
        </w:rPr>
        <w:t>前附表</w:t>
      </w:r>
      <w:bookmarkEnd w:id="54"/>
      <w:bookmarkEnd w:id="55"/>
      <w:bookmarkEnd w:id="56"/>
      <w:bookmarkEnd w:id="57"/>
      <w:bookmarkEnd w:id="58"/>
      <w:bookmarkEnd w:id="59"/>
      <w:bookmarkEnd w:id="60"/>
      <w:r>
        <w:rPr>
          <w:rFonts w:hint="eastAsia" w:ascii="宋体" w:hAnsi="宋体" w:eastAsia="宋体"/>
          <w:b/>
          <w:bCs/>
          <w:szCs w:val="28"/>
          <w:highlight w:val="none"/>
        </w:rPr>
        <w:t>A</w:t>
      </w: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highlight w:val="none"/>
              </w:rPr>
              <w:t>条款号</w:t>
            </w:r>
          </w:p>
        </w:tc>
        <w:tc>
          <w:tcPr>
            <w:tcW w:w="1774"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highlight w:val="none"/>
              </w:rPr>
              <w:t>评审因素</w:t>
            </w:r>
          </w:p>
        </w:tc>
        <w:tc>
          <w:tcPr>
            <w:tcW w:w="5676" w:type="dxa"/>
            <w:vAlign w:val="center"/>
          </w:tcPr>
          <w:p>
            <w:pPr>
              <w:widowControl/>
              <w:ind w:firstLine="105" w:firstLineChars="50"/>
              <w:jc w:val="center"/>
              <w:rPr>
                <w:rFonts w:hint="eastAsia" w:ascii="宋体" w:hAnsi="宋体" w:eastAsia="宋体" w:cs="宋体"/>
                <w:color w:val="auto"/>
                <w:kern w:val="0"/>
                <w:sz w:val="21"/>
                <w:szCs w:val="21"/>
                <w:highlight w:val="none"/>
              </w:rPr>
            </w:pPr>
            <w:r>
              <w:rPr>
                <w:rFonts w:hint="eastAsia" w:ascii="宋体" w:hAnsi="宋体" w:eastAsia="宋体" w:cs="宋体"/>
                <w:b/>
                <w:bCs/>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highlight w:val="none"/>
              </w:rPr>
              <w:t>1</w:t>
            </w:r>
          </w:p>
        </w:tc>
        <w:tc>
          <w:tcPr>
            <w:tcW w:w="1060" w:type="dxa"/>
            <w:vAlign w:val="center"/>
          </w:tcPr>
          <w:p>
            <w:pPr>
              <w:widowControl/>
              <w:jc w:val="center"/>
              <w:rPr>
                <w:rFonts w:hint="eastAsia" w:ascii="宋体" w:hAnsi="宋体" w:eastAsia="宋体" w:cs="宋体"/>
                <w:bCs/>
                <w:color w:val="auto"/>
                <w:kern w:val="0"/>
                <w:sz w:val="21"/>
                <w:szCs w:val="21"/>
                <w:highlight w:val="none"/>
              </w:rPr>
            </w:pPr>
            <w:r>
              <w:rPr>
                <w:rFonts w:hint="eastAsia" w:ascii="宋体" w:hAnsi="宋体" w:eastAsia="宋体" w:cs="宋体"/>
                <w:bCs/>
                <w:kern w:val="0"/>
                <w:sz w:val="21"/>
                <w:szCs w:val="21"/>
                <w:highlight w:val="none"/>
              </w:rPr>
              <w:t>评审方法</w:t>
            </w:r>
          </w:p>
        </w:tc>
        <w:tc>
          <w:tcPr>
            <w:tcW w:w="1774" w:type="dxa"/>
            <w:tcMar>
              <w:left w:w="75" w:type="dxa"/>
            </w:tcMar>
            <w:vAlign w:val="center"/>
          </w:tcPr>
          <w:p>
            <w:pPr>
              <w:widowControl/>
              <w:adjustRightInd w:val="0"/>
              <w:snapToGrid w:val="0"/>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成交候选人</w:t>
            </w:r>
          </w:p>
          <w:p>
            <w:pPr>
              <w:widowControl/>
              <w:adjustRightInd w:val="0"/>
              <w:snapToGrid w:val="0"/>
              <w:jc w:val="center"/>
              <w:rPr>
                <w:rFonts w:hint="eastAsia" w:ascii="宋体" w:hAnsi="宋体" w:eastAsia="宋体" w:cs="宋体"/>
                <w:color w:val="auto"/>
                <w:kern w:val="0"/>
                <w:sz w:val="21"/>
                <w:szCs w:val="21"/>
                <w:highlight w:val="none"/>
              </w:rPr>
            </w:pPr>
            <w:r>
              <w:rPr>
                <w:rFonts w:hint="eastAsia" w:ascii="宋体" w:hAnsi="宋体" w:eastAsia="宋体" w:cs="宋体"/>
                <w:kern w:val="0"/>
                <w:sz w:val="21"/>
                <w:szCs w:val="21"/>
                <w:highlight w:val="none"/>
              </w:rPr>
              <w:t>排序方法</w:t>
            </w:r>
          </w:p>
        </w:tc>
        <w:tc>
          <w:tcPr>
            <w:tcW w:w="5676" w:type="dxa"/>
            <w:tcMar>
              <w:left w:w="75" w:type="dxa"/>
            </w:tcMar>
            <w:vAlign w:val="center"/>
          </w:tcPr>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yellow"/>
                <w:lang w:val="en-US" w:eastAsia="zh-CN" w:bidi="ar"/>
              </w:rPr>
              <w:t>评审委员会对通过初步评审的投标人的商务及技术文件进行评分，按得分由高到低排序确定前N名。对排名前N名的投标人的报价文件进行评审，按照评标价由低到高的顺序推荐3名中标候选人。</w:t>
            </w:r>
            <w:r>
              <w:rPr>
                <w:rFonts w:hint="eastAsia" w:ascii="宋体" w:hAnsi="宋体" w:eastAsia="宋体" w:cs="宋体"/>
                <w:color w:val="000000"/>
                <w:kern w:val="0"/>
                <w:sz w:val="22"/>
                <w:szCs w:val="22"/>
                <w:highlight w:val="none"/>
                <w:lang w:val="en-US" w:eastAsia="zh-CN" w:bidi="ar"/>
              </w:rPr>
              <w:t xml:space="preserve">评标委员会按评标价由低到高顺序推荐中标候选人，评标价相等时，评标委员会依次按照以下优先顺序推荐中标候选人：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val="en-US" w:eastAsia="zh-CN" w:bidi="ar"/>
              </w:rPr>
              <w:t xml:space="preserve">）商务及技术文件得分较高的投标人优先；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 xml:space="preserve">）投标文件提供的业绩数量多的投标人优先； </w:t>
            </w:r>
          </w:p>
          <w:p>
            <w:pPr>
              <w:keepNext w:val="0"/>
              <w:keepLines w:val="0"/>
              <w:widowControl/>
              <w:suppressLineNumbers w:val="0"/>
              <w:jc w:val="left"/>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val="en-US" w:eastAsia="zh-CN" w:bidi="ar"/>
              </w:rPr>
              <w:t xml:space="preserve">）投标文件提供的业绩累计合同金额大的投标人优先。 </w:t>
            </w:r>
          </w:p>
        </w:tc>
      </w:tr>
    </w:tbl>
    <w:tbl>
      <w:tblPr>
        <w:tblStyle w:val="21"/>
        <w:tblpPr w:leftFromText="180" w:rightFromText="180" w:vertAnchor="text" w:horzAnchor="page" w:tblpX="1910" w:tblpY="200"/>
        <w:tblOverlap w:val="never"/>
        <w:tblW w:w="53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945"/>
        <w:gridCol w:w="6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75" w:type="dxa"/>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2.2.2</w:t>
            </w:r>
          </w:p>
        </w:tc>
        <w:tc>
          <w:tcPr>
            <w:tcW w:w="1945" w:type="dxa"/>
            <w:vAlign w:val="center"/>
          </w:tcPr>
          <w:p>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Times New Roman" w:hAnsi="Times New Roman" w:eastAsia="宋体" w:cs="Times New Roman"/>
                <w:highlight w:val="none"/>
                <w:vertAlign w:val="baseline"/>
                <w:lang w:val="en-US" w:eastAsia="zh-CN"/>
              </w:rPr>
              <w:t>通过商务及技术文件评审，打分前N名值的确定</w:t>
            </w:r>
          </w:p>
        </w:tc>
        <w:tc>
          <w:tcPr>
            <w:tcW w:w="6375" w:type="dxa"/>
            <w:vAlign w:val="center"/>
          </w:tcPr>
          <w:tbl>
            <w:tblPr>
              <w:tblStyle w:val="22"/>
              <w:tblpPr w:leftFromText="180" w:rightFromText="180" w:vertAnchor="text" w:horzAnchor="page" w:tblpX="366" w:tblpY="23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通过资格审查的投标人数量（T）</w:t>
                  </w:r>
                </w:p>
              </w:tc>
              <w:tc>
                <w:tcPr>
                  <w:tcW w:w="25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商务及技术文件评审打分排名（N）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T＞8</w:t>
                  </w:r>
                </w:p>
              </w:tc>
              <w:tc>
                <w:tcPr>
                  <w:tcW w:w="25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N=5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3135" w:type="dxa"/>
                  <w:vAlign w:val="center"/>
                </w:tcPr>
                <w:p>
                  <w:pPr>
                    <w:jc w:val="center"/>
                    <w:rPr>
                      <w:rFonts w:hint="eastAsia"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5＜T≤8</w:t>
                  </w:r>
                </w:p>
              </w:tc>
              <w:tc>
                <w:tcPr>
                  <w:tcW w:w="25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3≤T≤5</w:t>
                  </w:r>
                </w:p>
              </w:tc>
              <w:tc>
                <w:tcPr>
                  <w:tcW w:w="2535" w:type="dxa"/>
                  <w:vAlign w:val="center"/>
                </w:tcPr>
                <w:p>
                  <w:pPr>
                    <w:jc w:val="center"/>
                    <w:rPr>
                      <w:rFonts w:hint="default" w:ascii="Times New Roman" w:hAnsi="Times New Roman" w:eastAsia="宋体" w:cs="Times New Roman"/>
                      <w:highlight w:val="none"/>
                      <w:vertAlign w:val="baseline"/>
                      <w:lang w:val="en-US" w:eastAsia="zh-CN"/>
                    </w:rPr>
                  </w:pPr>
                  <w:r>
                    <w:rPr>
                      <w:rFonts w:hint="eastAsia" w:ascii="Times New Roman" w:hAnsi="Times New Roman" w:eastAsia="宋体" w:cs="Times New Roman"/>
                      <w:highlight w:val="none"/>
                      <w:vertAlign w:val="baseline"/>
                      <w:lang w:val="en-US" w:eastAsia="zh-CN"/>
                    </w:rPr>
                    <w:t>N=3</w:t>
                  </w:r>
                </w:p>
              </w:tc>
            </w:tr>
          </w:tbl>
          <w:p>
            <w:pPr>
              <w:keepNext w:val="0"/>
              <w:keepLines w:val="0"/>
              <w:widowControl/>
              <w:suppressLineNumbers w:val="0"/>
              <w:jc w:val="left"/>
              <w:rPr>
                <w:rFonts w:hint="eastAsia" w:ascii="宋体" w:hAnsi="宋体" w:eastAsia="宋体" w:cs="宋体"/>
                <w:color w:val="000000"/>
                <w:kern w:val="0"/>
                <w:sz w:val="21"/>
                <w:szCs w:val="21"/>
                <w:highlight w:val="none"/>
                <w:lang w:val="en-US" w:eastAsia="zh-CN" w:bidi="ar"/>
              </w:rPr>
            </w:pPr>
          </w:p>
          <w:p>
            <w:pPr>
              <w:keepNext w:val="0"/>
              <w:keepLines w:val="0"/>
              <w:widowControl/>
              <w:suppressLineNumbers w:val="0"/>
              <w:jc w:val="left"/>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 xml:space="preserve">说明：如出现 </w:t>
            </w:r>
            <w:r>
              <w:rPr>
                <w:rFonts w:hint="default" w:ascii="Times New Roman" w:hAnsi="Times New Roman" w:eastAsia="宋体" w:cs="Times New Roman"/>
                <w:color w:val="000000"/>
                <w:kern w:val="0"/>
                <w:sz w:val="21"/>
                <w:szCs w:val="21"/>
                <w:highlight w:val="none"/>
                <w:lang w:val="en-US" w:eastAsia="zh-CN" w:bidi="ar"/>
              </w:rPr>
              <w:t xml:space="preserve">A </w:t>
            </w:r>
            <w:r>
              <w:rPr>
                <w:rFonts w:hint="eastAsia" w:ascii="宋体" w:hAnsi="宋体" w:eastAsia="宋体" w:cs="宋体"/>
                <w:color w:val="000000"/>
                <w:kern w:val="0"/>
                <w:sz w:val="21"/>
                <w:szCs w:val="21"/>
                <w:highlight w:val="none"/>
                <w:lang w:val="en-US" w:eastAsia="zh-CN" w:bidi="ar"/>
              </w:rPr>
              <w:t xml:space="preserve">家投标人商务技术文件得分相同的情况，其名次并列为第 </w:t>
            </w:r>
            <w:r>
              <w:rPr>
                <w:rFonts w:hint="default" w:ascii="Times New Roman" w:hAnsi="Times New Roman" w:eastAsia="宋体" w:cs="Times New Roman"/>
                <w:color w:val="000000"/>
                <w:kern w:val="0"/>
                <w:sz w:val="21"/>
                <w:szCs w:val="21"/>
                <w:highlight w:val="none"/>
                <w:lang w:val="en-US" w:eastAsia="zh-CN" w:bidi="ar"/>
              </w:rPr>
              <w:t xml:space="preserve">B </w:t>
            </w:r>
            <w:r>
              <w:rPr>
                <w:rFonts w:hint="eastAsia" w:ascii="宋体" w:hAnsi="宋体" w:eastAsia="宋体" w:cs="宋体"/>
                <w:color w:val="000000"/>
                <w:kern w:val="0"/>
                <w:sz w:val="21"/>
                <w:szCs w:val="21"/>
                <w:highlight w:val="none"/>
                <w:lang w:val="en-US" w:eastAsia="zh-CN" w:bidi="ar"/>
              </w:rPr>
              <w:t xml:space="preserve">名，则排名在 </w:t>
            </w:r>
            <w:r>
              <w:rPr>
                <w:rFonts w:hint="default" w:ascii="Times New Roman" w:hAnsi="Times New Roman" w:eastAsia="宋体" w:cs="Times New Roman"/>
                <w:color w:val="000000"/>
                <w:kern w:val="0"/>
                <w:sz w:val="21"/>
                <w:szCs w:val="21"/>
                <w:highlight w:val="none"/>
                <w:lang w:val="en-US" w:eastAsia="zh-CN" w:bidi="ar"/>
              </w:rPr>
              <w:t xml:space="preserve">A </w:t>
            </w:r>
            <w:r>
              <w:rPr>
                <w:rFonts w:hint="eastAsia" w:ascii="宋体" w:hAnsi="宋体" w:eastAsia="宋体" w:cs="宋体"/>
                <w:color w:val="000000"/>
                <w:kern w:val="0"/>
                <w:sz w:val="21"/>
                <w:szCs w:val="21"/>
                <w:highlight w:val="none"/>
                <w:lang w:val="en-US" w:eastAsia="zh-CN" w:bidi="ar"/>
              </w:rPr>
              <w:t xml:space="preserve">家投标人之后的投标人的名次从第 </w:t>
            </w:r>
            <w:r>
              <w:rPr>
                <w:rFonts w:hint="default" w:ascii="Times New Roman" w:hAnsi="Times New Roman" w:eastAsia="宋体" w:cs="Times New Roman"/>
                <w:color w:val="000000"/>
                <w:kern w:val="0"/>
                <w:sz w:val="21"/>
                <w:szCs w:val="21"/>
                <w:highlight w:val="none"/>
                <w:lang w:val="en-US" w:eastAsia="zh-CN" w:bidi="ar"/>
              </w:rPr>
              <w:t xml:space="preserve">B+A </w:t>
            </w:r>
            <w:r>
              <w:rPr>
                <w:rFonts w:hint="eastAsia" w:ascii="宋体" w:hAnsi="宋体" w:eastAsia="宋体" w:cs="宋体"/>
                <w:color w:val="000000"/>
                <w:kern w:val="0"/>
                <w:sz w:val="21"/>
                <w:szCs w:val="21"/>
                <w:highlight w:val="none"/>
                <w:lang w:val="en-US" w:eastAsia="zh-CN" w:bidi="ar"/>
              </w:rPr>
              <w:t xml:space="preserve">名开始依次计列。 </w:t>
            </w:r>
          </w:p>
        </w:tc>
      </w:tr>
    </w:tbl>
    <w:p>
      <w:pPr>
        <w:rPr>
          <w:rFonts w:hint="eastAsia"/>
          <w:highlight w:val="none"/>
        </w:rPr>
      </w:pPr>
    </w:p>
    <w:tbl>
      <w:tblPr>
        <w:tblStyle w:val="2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条款号</w:t>
            </w:r>
          </w:p>
        </w:tc>
        <w:tc>
          <w:tcPr>
            <w:tcW w:w="7418" w:type="dxa"/>
            <w:vAlign w:val="center"/>
          </w:tcPr>
          <w:p>
            <w:pPr>
              <w:widowControl/>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5"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096" w:type="dxa"/>
            <w:vAlign w:val="center"/>
          </w:tcPr>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形式评审</w:t>
            </w:r>
          </w:p>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与响应性</w:t>
            </w:r>
          </w:p>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评审标准</w:t>
            </w:r>
          </w:p>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lang w:eastAsia="zh-CN"/>
              </w:rPr>
            </w:pPr>
          </w:p>
        </w:tc>
        <w:tc>
          <w:tcPr>
            <w:tcW w:w="7418" w:type="dxa"/>
            <w:tcMar>
              <w:left w:w="75" w:type="dxa"/>
            </w:tcMar>
            <w:vAlign w:val="center"/>
          </w:tcPr>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第一个信封（商务及技术文件）评审标准：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val="en-US" w:eastAsia="zh-CN" w:bidi="ar"/>
              </w:rPr>
              <w:t xml:space="preserve">）响应文件按照询比文件规定的格式、内容填写，字迹清晰可辨。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 xml:space="preserve">）响应文件上法定代表人或其委托代理人的签字、供应商的单位盖章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 xml:space="preserve">齐全，符合询比文件规定。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val="en-US" w:eastAsia="zh-CN" w:bidi="ar"/>
              </w:rPr>
              <w:t xml:space="preserve">）投标人按照询比文件的规定提供了投标保证金。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val="en-US" w:eastAsia="zh-CN" w:bidi="ar"/>
              </w:rPr>
              <w:t xml:space="preserve">）本项目不接受联合体投标。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val="en-US" w:eastAsia="zh-CN" w:bidi="ar"/>
              </w:rPr>
              <w:t xml:space="preserve">）同一投标人未提交两个以上不同的投标文件。 </w:t>
            </w:r>
          </w:p>
          <w:p>
            <w:pPr>
              <w:keepNext w:val="0"/>
              <w:keepLines w:val="0"/>
              <w:widowControl/>
              <w:suppressLineNumbers w:val="0"/>
              <w:jc w:val="left"/>
              <w:rPr>
                <w:highlight w:val="yellow"/>
              </w:rPr>
            </w:pPr>
            <w:r>
              <w:rPr>
                <w:rFonts w:hint="eastAsia" w:ascii="宋体" w:hAnsi="宋体" w:eastAsia="宋体" w:cs="宋体"/>
                <w:color w:val="000000"/>
                <w:kern w:val="0"/>
                <w:sz w:val="22"/>
                <w:szCs w:val="22"/>
                <w:highlight w:val="yellow"/>
                <w:lang w:val="en-US" w:eastAsia="zh-CN" w:bidi="ar"/>
              </w:rPr>
              <w:t>（</w:t>
            </w:r>
            <w:r>
              <w:rPr>
                <w:rFonts w:hint="eastAsia" w:ascii="Times New Roman" w:hAnsi="Times New Roman" w:eastAsia="宋体" w:cs="Times New Roman"/>
                <w:color w:val="000000"/>
                <w:kern w:val="0"/>
                <w:sz w:val="22"/>
                <w:szCs w:val="22"/>
                <w:highlight w:val="yellow"/>
                <w:lang w:val="en-US" w:eastAsia="zh-CN" w:bidi="ar"/>
              </w:rPr>
              <w:t>6</w:t>
            </w:r>
            <w:r>
              <w:rPr>
                <w:rFonts w:hint="eastAsia" w:ascii="宋体" w:hAnsi="宋体" w:eastAsia="宋体" w:cs="宋体"/>
                <w:color w:val="000000"/>
                <w:kern w:val="0"/>
                <w:sz w:val="22"/>
                <w:szCs w:val="22"/>
                <w:highlight w:val="yellow"/>
                <w:lang w:val="en-US" w:eastAsia="zh-CN" w:bidi="ar"/>
              </w:rPr>
              <w:t>）</w:t>
            </w:r>
            <w:r>
              <w:rPr>
                <w:rFonts w:hint="eastAsia" w:ascii="宋体" w:hAnsi="宋体" w:eastAsia="宋体" w:cs="宋体"/>
                <w:b w:val="0"/>
                <w:bCs w:val="0"/>
                <w:color w:val="000000"/>
                <w:kern w:val="0"/>
                <w:sz w:val="22"/>
                <w:szCs w:val="22"/>
                <w:highlight w:val="yellow"/>
                <w:lang w:val="en-US" w:eastAsia="zh-CN" w:bidi="ar"/>
              </w:rPr>
              <w:t>商务及技术文件中未出现有关投标报价的内容。</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7</w:t>
            </w:r>
            <w:r>
              <w:rPr>
                <w:rFonts w:hint="eastAsia" w:ascii="宋体" w:hAnsi="宋体" w:eastAsia="宋体" w:cs="宋体"/>
                <w:color w:val="000000"/>
                <w:kern w:val="0"/>
                <w:sz w:val="22"/>
                <w:szCs w:val="22"/>
                <w:highlight w:val="none"/>
                <w:lang w:val="en-US" w:eastAsia="zh-CN" w:bidi="ar"/>
              </w:rPr>
              <w:t xml:space="preserve">）投标人对其信誉情况的承诺与事实相符。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8</w:t>
            </w:r>
            <w:r>
              <w:rPr>
                <w:rFonts w:hint="eastAsia" w:ascii="宋体" w:hAnsi="宋体" w:eastAsia="宋体" w:cs="宋体"/>
                <w:color w:val="000000"/>
                <w:kern w:val="0"/>
                <w:sz w:val="22"/>
                <w:szCs w:val="22"/>
                <w:highlight w:val="none"/>
                <w:lang w:val="en-US" w:eastAsia="zh-CN" w:bidi="ar"/>
              </w:rPr>
              <w:t xml:space="preserve">）投标文件未附有招标人不能接受的条件。 </w:t>
            </w:r>
          </w:p>
          <w:p>
            <w:pPr>
              <w:keepNext w:val="0"/>
              <w:keepLines w:val="0"/>
              <w:widowControl/>
              <w:suppressLineNumbers w:val="0"/>
              <w:jc w:val="left"/>
              <w:rPr>
                <w:highlight w:val="none"/>
              </w:rPr>
            </w:pPr>
            <w:r>
              <w:rPr>
                <w:rFonts w:hint="eastAsia" w:ascii="黑体" w:hAnsi="宋体" w:eastAsia="黑体" w:cs="黑体"/>
                <w:color w:val="000000"/>
                <w:kern w:val="0"/>
                <w:sz w:val="22"/>
                <w:szCs w:val="22"/>
                <w:highlight w:val="none"/>
                <w:lang w:val="en-US" w:eastAsia="zh-CN" w:bidi="ar"/>
              </w:rPr>
              <w:t xml:space="preserve">第二个信封（报价文件）评审标准：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val="en-US" w:eastAsia="zh-CN" w:bidi="ar"/>
              </w:rPr>
              <w:t xml:space="preserve">）报价文件按照询比文件规定的格式、内容填写，字迹清晰可辨： </w:t>
            </w:r>
          </w:p>
          <w:p>
            <w:pPr>
              <w:keepNext w:val="0"/>
              <w:keepLines w:val="0"/>
              <w:widowControl/>
              <w:suppressLineNumbers w:val="0"/>
              <w:jc w:val="left"/>
              <w:rPr>
                <w:highlight w:val="none"/>
              </w:rPr>
            </w:pPr>
            <w:r>
              <w:rPr>
                <w:rFonts w:hint="eastAsia" w:ascii="Times New Roman" w:hAnsi="Times New Roman" w:eastAsia="宋体" w:cs="Times New Roman"/>
                <w:color w:val="000000"/>
                <w:kern w:val="0"/>
                <w:sz w:val="22"/>
                <w:szCs w:val="22"/>
                <w:highlight w:val="none"/>
                <w:lang w:val="en-US" w:eastAsia="zh-CN" w:bidi="ar"/>
              </w:rPr>
              <w:t>a</w:t>
            </w:r>
            <w:r>
              <w:rPr>
                <w:rFonts w:hint="default" w:ascii="Times New Roman" w:hAnsi="Times New Roman" w:eastAsia="宋体" w:cs="Times New Roman"/>
                <w:color w:val="000000"/>
                <w:kern w:val="0"/>
                <w:sz w:val="22"/>
                <w:szCs w:val="22"/>
                <w:highlight w:val="none"/>
                <w:lang w:val="en-US" w:eastAsia="zh-CN" w:bidi="ar"/>
              </w:rPr>
              <w:t>.</w:t>
            </w:r>
            <w:r>
              <w:rPr>
                <w:rFonts w:hint="eastAsia" w:ascii="宋体" w:hAnsi="宋体" w:eastAsia="宋体" w:cs="宋体"/>
                <w:color w:val="000000"/>
                <w:kern w:val="0"/>
                <w:sz w:val="22"/>
                <w:szCs w:val="22"/>
                <w:highlight w:val="none"/>
                <w:lang w:val="en-US" w:eastAsia="zh-CN" w:bidi="ar"/>
              </w:rPr>
              <w:t xml:space="preserve">按询比文件规定填报了采购人名称、项目名称、补遗书编号（如有）、投标价（包括大写金额和小写金额）；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22"/>
                <w:szCs w:val="22"/>
                <w:highlight w:val="none"/>
                <w:lang w:val="en-US" w:eastAsia="zh-CN" w:bidi="ar"/>
              </w:rPr>
              <w:t>b.</w:t>
            </w:r>
            <w:r>
              <w:rPr>
                <w:rFonts w:hint="eastAsia" w:ascii="宋体" w:hAnsi="宋体" w:eastAsia="宋体" w:cs="宋体"/>
                <w:color w:val="000000"/>
                <w:kern w:val="0"/>
                <w:sz w:val="22"/>
                <w:szCs w:val="22"/>
                <w:highlight w:val="none"/>
                <w:lang w:val="en-US" w:eastAsia="zh-CN" w:bidi="ar"/>
              </w:rPr>
              <w:t xml:space="preserve">已标价工程量清单及说明文字与询比文件规定一致，未进行实质性修改和删减；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22"/>
                <w:szCs w:val="22"/>
                <w:highlight w:val="none"/>
                <w:lang w:val="en-US" w:eastAsia="zh-CN" w:bidi="ar"/>
              </w:rPr>
              <w:t>c.</w:t>
            </w:r>
            <w:r>
              <w:rPr>
                <w:rFonts w:hint="eastAsia" w:ascii="宋体" w:hAnsi="宋体" w:eastAsia="宋体" w:cs="宋体"/>
                <w:color w:val="000000"/>
                <w:kern w:val="0"/>
                <w:sz w:val="22"/>
                <w:szCs w:val="22"/>
                <w:highlight w:val="none"/>
                <w:lang w:val="en-US" w:eastAsia="zh-CN" w:bidi="ar"/>
              </w:rPr>
              <w:t xml:space="preserve">工程量清单中的投标报价与报价函大写金额报价一致； </w:t>
            </w:r>
          </w:p>
          <w:p>
            <w:pPr>
              <w:keepNext w:val="0"/>
              <w:keepLines w:val="0"/>
              <w:widowControl/>
              <w:suppressLineNumbers w:val="0"/>
              <w:jc w:val="left"/>
              <w:rPr>
                <w:highlight w:val="none"/>
              </w:rPr>
            </w:pPr>
            <w:r>
              <w:rPr>
                <w:rFonts w:hint="default" w:ascii="Times New Roman" w:hAnsi="Times New Roman" w:eastAsia="宋体" w:cs="Times New Roman"/>
                <w:color w:val="000000"/>
                <w:kern w:val="0"/>
                <w:sz w:val="22"/>
                <w:szCs w:val="22"/>
                <w:highlight w:val="none"/>
                <w:lang w:val="en-US" w:eastAsia="zh-CN" w:bidi="ar"/>
              </w:rPr>
              <w:t>d.</w:t>
            </w:r>
            <w:r>
              <w:rPr>
                <w:rFonts w:hint="eastAsia" w:ascii="宋体" w:hAnsi="宋体" w:eastAsia="宋体" w:cs="宋体"/>
                <w:color w:val="000000"/>
                <w:kern w:val="0"/>
                <w:sz w:val="22"/>
                <w:szCs w:val="22"/>
                <w:highlight w:val="none"/>
                <w:lang w:val="en-US" w:eastAsia="zh-CN" w:bidi="ar"/>
              </w:rPr>
              <w:t xml:space="preserve">报价文件组成齐全完整，内容均按规定填写。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 xml:space="preserve">）报价文件上法定代表人或其委托代理人的签字、供应商的单位章盖章齐全，符合询比文件规定。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val="en-US" w:eastAsia="zh-CN" w:bidi="ar"/>
              </w:rPr>
              <w:t xml:space="preserve">）投标报价未超过询比文件设定的最高投标限价。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4</w:t>
            </w:r>
            <w:r>
              <w:rPr>
                <w:rFonts w:hint="eastAsia" w:ascii="宋体" w:hAnsi="宋体" w:eastAsia="宋体" w:cs="宋体"/>
                <w:color w:val="000000"/>
                <w:kern w:val="0"/>
                <w:sz w:val="22"/>
                <w:szCs w:val="22"/>
                <w:highlight w:val="none"/>
                <w:lang w:val="en-US" w:eastAsia="zh-CN" w:bidi="ar"/>
              </w:rPr>
              <w:t xml:space="preserve">）投标报价的大写金额能够确定具体数值。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5</w:t>
            </w:r>
            <w:r>
              <w:rPr>
                <w:rFonts w:hint="eastAsia" w:ascii="宋体" w:hAnsi="宋体" w:eastAsia="宋体" w:cs="宋体"/>
                <w:color w:val="000000"/>
                <w:kern w:val="0"/>
                <w:sz w:val="22"/>
                <w:szCs w:val="22"/>
                <w:highlight w:val="none"/>
                <w:lang w:val="en-US" w:eastAsia="zh-CN" w:bidi="ar"/>
              </w:rPr>
              <w:t xml:space="preserve">）同一投标人未提交两个以上不同的投标报价。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6</w:t>
            </w:r>
            <w:r>
              <w:rPr>
                <w:rFonts w:hint="eastAsia" w:ascii="宋体" w:hAnsi="宋体" w:eastAsia="宋体" w:cs="宋体"/>
                <w:color w:val="000000"/>
                <w:kern w:val="0"/>
                <w:sz w:val="22"/>
                <w:szCs w:val="22"/>
                <w:highlight w:val="none"/>
                <w:lang w:val="en-US" w:eastAsia="zh-CN" w:bidi="ar"/>
              </w:rPr>
              <w:t>）未附有招标人不能接受的条件。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096" w:type="dxa"/>
            <w:vAlign w:val="center"/>
          </w:tcPr>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资格评审</w:t>
            </w:r>
          </w:p>
          <w:p>
            <w:pPr>
              <w:keepNext w:val="0"/>
              <w:keepLines w:val="0"/>
              <w:widowControl/>
              <w:suppressLineNumbers w:val="0"/>
              <w:jc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val="en-US" w:eastAsia="zh-CN" w:bidi="ar"/>
              </w:rPr>
              <w:t>标准</w:t>
            </w:r>
          </w:p>
        </w:tc>
        <w:tc>
          <w:tcPr>
            <w:tcW w:w="7418" w:type="dxa"/>
            <w:tcMar>
              <w:left w:w="75" w:type="dxa"/>
            </w:tcMar>
            <w:vAlign w:val="center"/>
          </w:tcPr>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1</w:t>
            </w:r>
            <w:r>
              <w:rPr>
                <w:rFonts w:hint="eastAsia" w:ascii="宋体" w:hAnsi="宋体" w:eastAsia="宋体" w:cs="宋体"/>
                <w:color w:val="000000"/>
                <w:kern w:val="0"/>
                <w:sz w:val="22"/>
                <w:szCs w:val="22"/>
                <w:highlight w:val="none"/>
                <w:lang w:val="en-US" w:eastAsia="zh-CN" w:bidi="ar"/>
              </w:rPr>
              <w:t xml:space="preserve">）投标人具备有效的营业执照，具有独立完成本项目相关能力的生产厂家。 </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jc w:val="left"/>
              <w:rPr>
                <w:highlight w:val="none"/>
              </w:rPr>
            </w:pPr>
            <w:r>
              <w:rPr>
                <w:rFonts w:hint="eastAsia" w:ascii="宋体" w:hAnsi="宋体" w:eastAsia="宋体" w:cs="宋体"/>
                <w:color w:val="000000"/>
                <w:kern w:val="0"/>
                <w:sz w:val="22"/>
                <w:szCs w:val="22"/>
                <w:highlight w:val="none"/>
                <w:lang w:val="en-US" w:eastAsia="zh-CN" w:bidi="ar"/>
              </w:rPr>
              <w:t>（</w:t>
            </w:r>
            <w:r>
              <w:rPr>
                <w:rFonts w:hint="default" w:ascii="Times New Roman" w:hAnsi="Times New Roman" w:eastAsia="宋体" w:cs="Times New Roman"/>
                <w:color w:val="000000"/>
                <w:kern w:val="0"/>
                <w:sz w:val="22"/>
                <w:szCs w:val="22"/>
                <w:highlight w:val="none"/>
                <w:lang w:val="en-US" w:eastAsia="zh-CN" w:bidi="ar"/>
              </w:rPr>
              <w:t>2</w:t>
            </w:r>
            <w:r>
              <w:rPr>
                <w:rFonts w:hint="eastAsia" w:ascii="宋体" w:hAnsi="宋体" w:eastAsia="宋体" w:cs="宋体"/>
                <w:color w:val="000000"/>
                <w:kern w:val="0"/>
                <w:sz w:val="22"/>
                <w:szCs w:val="22"/>
                <w:highlight w:val="none"/>
                <w:lang w:val="en-US" w:eastAsia="zh-CN" w:bidi="ar"/>
              </w:rPr>
              <w:t xml:space="preserve">）投标人的类似项目业绩符合询比文件规定。 </w:t>
            </w:r>
          </w:p>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val="en-US" w:eastAsia="zh-CN" w:bidi="ar"/>
              </w:rPr>
              <w:t>（</w:t>
            </w:r>
            <w:r>
              <w:rPr>
                <w:rFonts w:hint="eastAsia" w:ascii="Times New Roman" w:hAnsi="Times New Roman" w:eastAsia="宋体" w:cs="Times New Roman"/>
                <w:color w:val="000000"/>
                <w:kern w:val="0"/>
                <w:sz w:val="22"/>
                <w:szCs w:val="22"/>
                <w:highlight w:val="none"/>
                <w:lang w:val="en-US" w:eastAsia="zh-CN" w:bidi="ar"/>
              </w:rPr>
              <w:t>3</w:t>
            </w:r>
            <w:r>
              <w:rPr>
                <w:rFonts w:hint="eastAsia" w:ascii="宋体" w:hAnsi="宋体" w:eastAsia="宋体" w:cs="宋体"/>
                <w:color w:val="000000"/>
                <w:kern w:val="0"/>
                <w:sz w:val="22"/>
                <w:szCs w:val="22"/>
                <w:highlight w:val="none"/>
                <w:lang w:val="en-US" w:eastAsia="zh-CN" w:bidi="ar"/>
              </w:rPr>
              <w:t xml:space="preserve">）投标人的信誉符合询比文件规定。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9198" w:type="dxa"/>
            <w:gridSpan w:val="3"/>
            <w:vAlign w:val="center"/>
          </w:tcPr>
          <w:p>
            <w:pPr>
              <w:widowControl/>
              <w:adjustRightInd w:val="0"/>
              <w:snapToGrid w:val="0"/>
              <w:spacing w:line="360" w:lineRule="atLeast"/>
              <w:ind w:firstLine="0" w:firstLineChars="0"/>
              <w:jc w:val="lef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注：</w:t>
            </w:r>
          </w:p>
          <w:p>
            <w:pPr>
              <w:widowControl/>
              <w:adjustRightInd w:val="0"/>
              <w:snapToGrid w:val="0"/>
              <w:spacing w:line="360" w:lineRule="atLeast"/>
              <w:ind w:firstLine="0" w:firstLineChars="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1.当通过资格审查投标人仅有3名时，评审直接进入报价环节。</w:t>
            </w:r>
          </w:p>
          <w:p>
            <w:pPr>
              <w:widowControl/>
              <w:adjustRightInd w:val="0"/>
              <w:snapToGrid w:val="0"/>
              <w:spacing w:line="360" w:lineRule="atLeast"/>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b/>
                <w:bCs/>
                <w:sz w:val="21"/>
                <w:szCs w:val="21"/>
                <w:highlight w:val="none"/>
                <w:lang w:val="en-US" w:eastAsia="zh-CN"/>
              </w:rPr>
              <w:t>2.</w:t>
            </w:r>
            <w:r>
              <w:rPr>
                <w:rFonts w:hint="eastAsia" w:ascii="宋体" w:hAnsi="宋体" w:eastAsia="宋体" w:cs="宋体"/>
                <w:b/>
                <w:bCs/>
                <w:sz w:val="21"/>
                <w:szCs w:val="21"/>
                <w:highlight w:val="none"/>
              </w:rPr>
              <w:t>响应文件不符合以上条件之一的，对该响应文件作否决其</w:t>
            </w:r>
            <w:r>
              <w:rPr>
                <w:rFonts w:hint="eastAsia" w:ascii="宋体" w:hAnsi="宋体" w:eastAsia="宋体" w:cs="宋体"/>
                <w:b/>
                <w:bCs/>
                <w:sz w:val="21"/>
                <w:szCs w:val="21"/>
                <w:highlight w:val="none"/>
                <w:lang w:eastAsia="zh-CN"/>
              </w:rPr>
              <w:t>响应</w:t>
            </w:r>
            <w:r>
              <w:rPr>
                <w:rFonts w:hint="eastAsia" w:ascii="宋体" w:hAnsi="宋体" w:eastAsia="宋体" w:cs="宋体"/>
                <w:b/>
                <w:bCs/>
                <w:sz w:val="21"/>
                <w:szCs w:val="21"/>
                <w:highlight w:val="none"/>
              </w:rPr>
              <w:t>处理。</w:t>
            </w:r>
          </w:p>
        </w:tc>
      </w:tr>
    </w:tbl>
    <w:p>
      <w:pPr>
        <w:widowControl/>
        <w:adjustRightInd w:val="0"/>
        <w:snapToGrid w:val="0"/>
        <w:spacing w:line="360" w:lineRule="atLeast"/>
        <w:ind w:firstLine="0" w:firstLineChars="0"/>
        <w:jc w:val="both"/>
        <w:rPr>
          <w:rFonts w:hint="eastAsia" w:ascii="宋体" w:hAnsi="宋体" w:eastAsia="宋体" w:cs="宋体"/>
          <w:color w:val="auto"/>
          <w:kern w:val="0"/>
          <w:sz w:val="21"/>
          <w:szCs w:val="21"/>
          <w:highlight w:val="none"/>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2"/>
        <w:numPr>
          <w:ilvl w:val="0"/>
          <w:numId w:val="0"/>
        </w:numPr>
        <w:spacing w:before="0"/>
        <w:outlineLvl w:val="9"/>
        <w:rPr>
          <w:rFonts w:hint="eastAsia" w:ascii="宋体" w:hAnsi="宋体" w:eastAsia="宋体"/>
          <w:b/>
          <w:bCs/>
          <w:szCs w:val="28"/>
          <w:highlight w:val="none"/>
        </w:rPr>
      </w:pPr>
      <w:r>
        <w:rPr>
          <w:rFonts w:hint="eastAsia" w:ascii="宋体" w:hAnsi="宋体" w:eastAsia="宋体"/>
          <w:b/>
          <w:bCs/>
          <w:szCs w:val="28"/>
          <w:highlight w:val="none"/>
        </w:rPr>
        <w:t>前附表B</w:t>
      </w:r>
    </w:p>
    <w:tbl>
      <w:tblPr>
        <w:tblStyle w:val="21"/>
        <w:tblpPr w:leftFromText="180" w:rightFromText="180" w:vertAnchor="text" w:horzAnchor="page" w:tblpXSpec="center" w:tblpY="576"/>
        <w:tblOverlap w:val="never"/>
        <w:tblW w:w="55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860"/>
        <w:gridCol w:w="6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jc w:val="center"/>
        </w:trPr>
        <w:tc>
          <w:tcPr>
            <w:tcW w:w="1141" w:type="dxa"/>
            <w:vAlign w:val="center"/>
          </w:tcPr>
          <w:p>
            <w:pPr>
              <w:pStyle w:val="2"/>
              <w:adjustRightInd w:val="0"/>
              <w:snapToGrid w:val="0"/>
              <w:spacing w:after="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条款号</w:t>
            </w:r>
          </w:p>
        </w:tc>
        <w:tc>
          <w:tcPr>
            <w:tcW w:w="1860" w:type="dxa"/>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条款内容</w:t>
            </w:r>
          </w:p>
        </w:tc>
        <w:tc>
          <w:tcPr>
            <w:tcW w:w="6483" w:type="dxa"/>
            <w:vAlign w:val="center"/>
          </w:tcPr>
          <w:p>
            <w:pPr>
              <w:adjustRightInd w:val="0"/>
              <w:spacing w:line="276"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141" w:type="dxa"/>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2.2.1</w:t>
            </w:r>
          </w:p>
        </w:tc>
        <w:tc>
          <w:tcPr>
            <w:tcW w:w="1860" w:type="dxa"/>
            <w:vAlign w:val="center"/>
          </w:tcPr>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第一个信封</w:t>
            </w:r>
          </w:p>
          <w:p>
            <w:pPr>
              <w:keepNext w:val="0"/>
              <w:keepLines w:val="0"/>
              <w:widowControl/>
              <w:suppressLineNumbers w:val="0"/>
              <w:jc w:val="center"/>
              <w:rPr>
                <w:highlight w:val="none"/>
              </w:rPr>
            </w:pPr>
            <w:r>
              <w:rPr>
                <w:rFonts w:hint="eastAsia" w:ascii="宋体" w:hAnsi="宋体" w:eastAsia="宋体" w:cs="宋体"/>
                <w:color w:val="000000"/>
                <w:kern w:val="0"/>
                <w:sz w:val="22"/>
                <w:szCs w:val="22"/>
                <w:highlight w:val="none"/>
                <w:lang w:val="en-US" w:eastAsia="zh-CN" w:bidi="ar"/>
              </w:rPr>
              <w:t>评分分值构</w:t>
            </w:r>
          </w:p>
          <w:p>
            <w:pPr>
              <w:keepNext w:val="0"/>
              <w:keepLines w:val="0"/>
              <w:widowControl/>
              <w:suppressLineNumbers w:val="0"/>
              <w:jc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2"/>
                <w:szCs w:val="22"/>
                <w:highlight w:val="none"/>
                <w:lang w:val="en-US" w:eastAsia="zh-CN" w:bidi="ar"/>
              </w:rPr>
              <w:t>成</w:t>
            </w:r>
            <w:r>
              <w:rPr>
                <w:rFonts w:hint="eastAsia" w:ascii="宋体" w:hAnsi="宋体" w:eastAsia="宋体" w:cs="宋体"/>
                <w:sz w:val="21"/>
                <w:szCs w:val="21"/>
                <w:highlight w:val="none"/>
              </w:rPr>
              <w:t>（总分100分）</w:t>
            </w:r>
          </w:p>
        </w:tc>
        <w:tc>
          <w:tcPr>
            <w:tcW w:w="6483"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商务及技术</w:t>
            </w:r>
            <w:r>
              <w:rPr>
                <w:rFonts w:hint="eastAsia" w:ascii="宋体" w:hAnsi="宋体" w:eastAsia="宋体" w:cs="宋体"/>
                <w:b/>
                <w:bCs/>
                <w:sz w:val="21"/>
                <w:szCs w:val="21"/>
                <w:highlight w:val="none"/>
              </w:rPr>
              <w:t>文件评分分值构成</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u w:val="single"/>
                <w:lang w:val="en-US" w:eastAsia="zh-CN"/>
              </w:rPr>
              <w:t xml:space="preserve"> 100 </w:t>
            </w:r>
            <w:r>
              <w:rPr>
                <w:rFonts w:hint="eastAsia" w:ascii="宋体" w:hAnsi="宋体" w:eastAsia="宋体" w:cs="宋体"/>
                <w:b/>
                <w:bCs/>
                <w:sz w:val="21"/>
                <w:szCs w:val="21"/>
                <w:highlight w:val="none"/>
              </w:rPr>
              <w:t>分</w:t>
            </w:r>
          </w:p>
          <w:p>
            <w:pPr>
              <w:bidi w:val="0"/>
              <w:rPr>
                <w:rFonts w:hint="eastAsia"/>
                <w:highlight w:val="none"/>
              </w:rPr>
            </w:pPr>
            <w:r>
              <w:rPr>
                <w:rFonts w:hint="eastAsia"/>
                <w:highlight w:val="none"/>
                <w:lang w:val="en-US" w:eastAsia="zh-CN"/>
              </w:rPr>
              <w:t>企业</w:t>
            </w:r>
            <w:r>
              <w:rPr>
                <w:rFonts w:hint="eastAsia"/>
                <w:highlight w:val="none"/>
              </w:rPr>
              <w:t>业绩：</w:t>
            </w:r>
            <w:r>
              <w:rPr>
                <w:rFonts w:hint="eastAsia"/>
                <w:highlight w:val="none"/>
                <w:u w:val="single"/>
              </w:rPr>
              <w:t xml:space="preserve">  </w:t>
            </w:r>
            <w:r>
              <w:rPr>
                <w:rFonts w:hint="eastAsia"/>
                <w:highlight w:val="none"/>
                <w:u w:val="single"/>
                <w:lang w:val="en-US" w:eastAsia="zh-CN"/>
              </w:rPr>
              <w:t xml:space="preserve">40 </w:t>
            </w:r>
            <w:r>
              <w:rPr>
                <w:rFonts w:hint="eastAsia"/>
                <w:highlight w:val="none"/>
                <w:u w:val="single"/>
              </w:rPr>
              <w:t xml:space="preserve"> </w:t>
            </w:r>
            <w:r>
              <w:rPr>
                <w:rFonts w:hint="eastAsia"/>
                <w:highlight w:val="none"/>
              </w:rPr>
              <w:t>分</w:t>
            </w:r>
          </w:p>
          <w:p>
            <w:pPr>
              <w:bidi w:val="0"/>
              <w:rPr>
                <w:rFonts w:hint="eastAsia"/>
                <w:highlight w:val="none"/>
                <w:lang w:val="en-US" w:eastAsia="zh-CN"/>
              </w:rPr>
            </w:pPr>
            <w:r>
              <w:rPr>
                <w:rFonts w:hint="eastAsia"/>
                <w:highlight w:val="none"/>
                <w:lang w:val="en-US" w:eastAsia="zh-CN"/>
              </w:rPr>
              <w:t>检测报告：</w:t>
            </w:r>
            <w:r>
              <w:rPr>
                <w:rFonts w:hint="eastAsia"/>
                <w:highlight w:val="none"/>
                <w:u w:val="single"/>
              </w:rPr>
              <w:t xml:space="preserve">  </w:t>
            </w:r>
            <w:r>
              <w:rPr>
                <w:rFonts w:hint="eastAsia"/>
                <w:highlight w:val="none"/>
                <w:u w:val="single"/>
                <w:lang w:val="en-US" w:eastAsia="zh-CN"/>
              </w:rPr>
              <w:t xml:space="preserve">10 </w:t>
            </w:r>
            <w:r>
              <w:rPr>
                <w:rFonts w:hint="eastAsia"/>
                <w:highlight w:val="none"/>
              </w:rPr>
              <w:t>分</w:t>
            </w:r>
          </w:p>
          <w:p>
            <w:pPr>
              <w:bidi w:val="0"/>
              <w:rPr>
                <w:rFonts w:hint="eastAsia"/>
                <w:highlight w:val="none"/>
                <w:lang w:val="en-US" w:eastAsia="zh-CN"/>
              </w:rPr>
            </w:pPr>
            <w:r>
              <w:rPr>
                <w:rFonts w:hint="eastAsia"/>
                <w:highlight w:val="none"/>
                <w:lang w:val="en-US" w:eastAsia="zh-CN"/>
              </w:rPr>
              <w:t>厂房面积：</w:t>
            </w:r>
            <w:r>
              <w:rPr>
                <w:rFonts w:hint="eastAsia"/>
                <w:highlight w:val="none"/>
                <w:u w:val="single"/>
                <w:lang w:val="en-US" w:eastAsia="zh-CN"/>
              </w:rPr>
              <w:t xml:space="preserve"> 10 </w:t>
            </w:r>
            <w:r>
              <w:rPr>
                <w:rFonts w:hint="eastAsia"/>
                <w:highlight w:val="none"/>
                <w:lang w:val="en-US" w:eastAsia="zh-CN"/>
              </w:rPr>
              <w:t>分</w:t>
            </w:r>
          </w:p>
          <w:p>
            <w:pPr>
              <w:bidi w:val="0"/>
              <w:rPr>
                <w:rFonts w:hint="eastAsia"/>
                <w:highlight w:val="none"/>
                <w:lang w:val="en-US" w:eastAsia="zh-CN"/>
              </w:rPr>
            </w:pPr>
            <w:r>
              <w:rPr>
                <w:rFonts w:hint="eastAsia"/>
                <w:highlight w:val="none"/>
                <w:lang w:eastAsia="zh-CN"/>
              </w:rPr>
              <w:t>生产设备</w:t>
            </w:r>
            <w:r>
              <w:rPr>
                <w:rFonts w:hint="eastAsia"/>
                <w:highlight w:val="none"/>
                <w:lang w:val="en-US" w:eastAsia="zh-CN"/>
              </w:rPr>
              <w:t>：</w:t>
            </w:r>
            <w:r>
              <w:rPr>
                <w:rFonts w:hint="eastAsia"/>
                <w:highlight w:val="none"/>
                <w:u w:val="single"/>
                <w:lang w:val="en-US" w:eastAsia="zh-CN"/>
              </w:rPr>
              <w:t xml:space="preserve"> 10 </w:t>
            </w:r>
            <w:r>
              <w:rPr>
                <w:rFonts w:hint="eastAsia"/>
                <w:highlight w:val="none"/>
                <w:lang w:val="en-US" w:eastAsia="zh-CN"/>
              </w:rPr>
              <w:t>分</w:t>
            </w:r>
          </w:p>
          <w:p>
            <w:pPr>
              <w:bidi w:val="0"/>
              <w:rPr>
                <w:rFonts w:hint="eastAsia" w:ascii="宋体" w:hAnsi="宋体" w:eastAsia="宋体" w:cs="宋体"/>
                <w:szCs w:val="21"/>
                <w:highlight w:val="none"/>
                <w:lang w:val="en-US" w:eastAsia="zh-CN"/>
              </w:rPr>
            </w:pPr>
            <w:r>
              <w:rPr>
                <w:rFonts w:hint="eastAsia"/>
                <w:highlight w:val="none"/>
                <w:lang w:val="en-US" w:eastAsia="zh-CN"/>
              </w:rPr>
              <w:t>供货方案：</w:t>
            </w:r>
            <w:r>
              <w:rPr>
                <w:rFonts w:hint="eastAsia"/>
                <w:highlight w:val="none"/>
                <w:u w:val="single"/>
                <w:lang w:val="en-US" w:eastAsia="zh-CN"/>
              </w:rPr>
              <w:t xml:space="preserve">  30  </w:t>
            </w:r>
            <w:r>
              <w:rPr>
                <w:rFonts w:hint="eastAsia"/>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141" w:type="dxa"/>
            <w:vAlign w:val="center"/>
          </w:tcPr>
          <w:p>
            <w:pPr>
              <w:keepNext w:val="0"/>
              <w:keepLines w:val="0"/>
              <w:widowControl/>
              <w:suppressLineNumbers w:val="0"/>
              <w:jc w:val="both"/>
              <w:rPr>
                <w:rFonts w:hint="eastAsia" w:ascii="宋体" w:hAnsi="宋体" w:eastAsia="宋体" w:cs="宋体"/>
                <w:sz w:val="21"/>
                <w:szCs w:val="21"/>
                <w:highlight w:val="none"/>
                <w:lang w:val="en-US" w:eastAsia="zh-CN"/>
              </w:rPr>
            </w:pPr>
            <w:r>
              <w:rPr>
                <w:rFonts w:hint="default" w:ascii="Times New Roman" w:hAnsi="Times New Roman" w:eastAsia="宋体" w:cs="Times New Roman"/>
                <w:color w:val="000000"/>
                <w:kern w:val="0"/>
                <w:sz w:val="22"/>
                <w:szCs w:val="22"/>
                <w:highlight w:val="none"/>
                <w:lang w:val="en-US" w:eastAsia="zh-CN" w:bidi="ar"/>
              </w:rPr>
              <w:t>2.2.3</w:t>
            </w:r>
          </w:p>
        </w:tc>
        <w:tc>
          <w:tcPr>
            <w:tcW w:w="1860" w:type="dxa"/>
            <w:vAlign w:val="center"/>
          </w:tcPr>
          <w:p>
            <w:pPr>
              <w:keepNext w:val="0"/>
              <w:keepLines w:val="0"/>
              <w:widowControl/>
              <w:suppressLineNumbers w:val="0"/>
              <w:jc w:val="center"/>
              <w:rPr>
                <w:rFonts w:hint="eastAsia" w:asciiTheme="minorEastAsia" w:hAnsiTheme="minorEastAsia" w:eastAsiaTheme="minorEastAsia" w:cstheme="minorEastAsia"/>
                <w:color w:val="000000"/>
                <w:kern w:val="0"/>
                <w:sz w:val="21"/>
                <w:szCs w:val="21"/>
                <w:highlight w:val="none"/>
                <w:lang w:val="en-US" w:eastAsia="zh-CN" w:bidi="ar"/>
              </w:rPr>
            </w:pPr>
            <w:r>
              <w:rPr>
                <w:rFonts w:hint="eastAsia" w:asciiTheme="minorEastAsia" w:hAnsiTheme="minorEastAsia" w:eastAsiaTheme="minorEastAsia" w:cstheme="minorEastAsia"/>
                <w:color w:val="000000"/>
                <w:kern w:val="0"/>
                <w:sz w:val="21"/>
                <w:szCs w:val="21"/>
                <w:highlight w:val="none"/>
                <w:lang w:val="en-US" w:eastAsia="zh-CN" w:bidi="ar"/>
              </w:rPr>
              <w:t>第二个信封详细评审标准</w:t>
            </w:r>
          </w:p>
        </w:tc>
        <w:tc>
          <w:tcPr>
            <w:tcW w:w="6483" w:type="dxa"/>
            <w:vAlign w:val="center"/>
          </w:tcPr>
          <w:p>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（1）评标价计算公式：</w:t>
            </w:r>
          </w:p>
          <w:p>
            <w:pPr>
              <w:keepNext w:val="0"/>
              <w:keepLines w:val="0"/>
              <w:widowControl/>
              <w:suppressLineNumbers w:val="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bidi="ar"/>
              </w:rPr>
              <w:t>评标价＝修正后的投标报价</w:t>
            </w:r>
          </w:p>
        </w:tc>
      </w:tr>
    </w:tbl>
    <w:tbl>
      <w:tblPr>
        <w:tblStyle w:val="21"/>
        <w:tblW w:w="5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90"/>
        <w:gridCol w:w="935"/>
        <w:gridCol w:w="1655"/>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jc w:val="center"/>
        </w:trPr>
        <w:tc>
          <w:tcPr>
            <w:tcW w:w="469" w:type="pct"/>
            <w:vAlign w:val="center"/>
          </w:tcPr>
          <w:p>
            <w:pPr>
              <w:pStyle w:val="2"/>
              <w:adjustRightInd w:val="0"/>
              <w:snapToGrid w:val="0"/>
              <w:spacing w:after="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492" w:type="pct"/>
            <w:vAlign w:val="center"/>
          </w:tcPr>
          <w:p>
            <w:pPr>
              <w:pStyle w:val="2"/>
              <w:adjustRightInd w:val="0"/>
              <w:snapToGrid w:val="0"/>
              <w:ind w:left="210" w:hanging="210" w:hangingChars="100"/>
              <w:jc w:val="center"/>
              <w:rPr>
                <w:rFonts w:hint="eastAsia" w:ascii="宋体" w:hAnsi="宋体" w:eastAsia="宋体" w:cs="宋体"/>
                <w:sz w:val="21"/>
                <w:szCs w:val="21"/>
                <w:highlight w:val="none"/>
                <w:lang w:val="en-US" w:eastAsia="zh-CN"/>
              </w:rPr>
            </w:pPr>
          </w:p>
        </w:tc>
        <w:tc>
          <w:tcPr>
            <w:tcW w:w="871" w:type="pct"/>
            <w:vAlign w:val="center"/>
          </w:tcPr>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分值构成</w:t>
            </w:r>
          </w:p>
        </w:tc>
        <w:tc>
          <w:tcPr>
            <w:tcW w:w="3166" w:type="pct"/>
            <w:vAlign w:val="center"/>
          </w:tcPr>
          <w:p>
            <w:pPr>
              <w:pStyle w:val="2"/>
              <w:adjustRightInd w:val="0"/>
              <w:snapToGrid w:val="0"/>
              <w:ind w:firstLine="420" w:firstLineChars="200"/>
              <w:jc w:val="center"/>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469" w:type="pct"/>
            <w:vMerge w:val="restart"/>
            <w:vAlign w:val="center"/>
          </w:tcPr>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2.2.4</w:t>
            </w:r>
          </w:p>
          <w:p>
            <w:pPr>
              <w:pStyle w:val="2"/>
              <w:adjustRightInd w:val="0"/>
              <w:snapToGrid w:val="0"/>
              <w:rPr>
                <w:rFonts w:hint="eastAsia" w:ascii="宋体" w:hAnsi="宋体" w:eastAsia="宋体" w:cs="宋体"/>
                <w:sz w:val="21"/>
                <w:szCs w:val="21"/>
                <w:highlight w:val="none"/>
              </w:rPr>
            </w:pPr>
          </w:p>
        </w:tc>
        <w:tc>
          <w:tcPr>
            <w:tcW w:w="492" w:type="pct"/>
            <w:vMerge w:val="restart"/>
            <w:vAlign w:val="center"/>
          </w:tcPr>
          <w:p>
            <w:pPr>
              <w:pStyle w:val="2"/>
              <w:adjustRightInd w:val="0"/>
              <w:snapToGrid w:val="0"/>
              <w:ind w:left="210" w:hanging="210" w:hangingChars="1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商务及技术文件</w:t>
            </w:r>
          </w:p>
        </w:tc>
        <w:tc>
          <w:tcPr>
            <w:tcW w:w="871"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企业业绩</w:t>
            </w:r>
          </w:p>
          <w:p>
            <w:pPr>
              <w:pStyle w:val="2"/>
              <w:adjustRightInd w:val="0"/>
              <w:snapToGrid w:val="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40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66" w:type="pct"/>
            <w:vAlign w:val="center"/>
          </w:tcPr>
          <w:p>
            <w:pPr>
              <w:pStyle w:val="4"/>
              <w:keepNext w:val="0"/>
              <w:keepLines w:val="0"/>
              <w:pageBreakBefore w:val="0"/>
              <w:widowControl w:val="0"/>
              <w:kinsoku/>
              <w:wordWrap/>
              <w:overflowPunct/>
              <w:topLinePunct w:val="0"/>
              <w:autoSpaceDE/>
              <w:autoSpaceDN/>
              <w:bidi w:val="0"/>
              <w:spacing w:line="300" w:lineRule="exact"/>
              <w:ind w:left="0" w:leftChars="0" w:right="0" w:firstLine="420" w:firstLineChars="200"/>
              <w:jc w:val="both"/>
              <w:textAlignment w:val="auto"/>
              <w:rPr>
                <w:rFonts w:hint="eastAsia" w:asciiTheme="minorHAnsi" w:hAnsiTheme="minorHAnsi" w:eastAsiaTheme="minorEastAsia" w:cstheme="minorBidi"/>
                <w:i w:val="0"/>
                <w:iCs w:val="0"/>
                <w:color w:val="auto"/>
                <w:kern w:val="2"/>
                <w:sz w:val="21"/>
                <w:szCs w:val="24"/>
                <w:highlight w:val="none"/>
                <w:lang w:val="en-US" w:eastAsia="zh-CN" w:bidi="ar-SA"/>
              </w:rPr>
            </w:pPr>
            <w:r>
              <w:rPr>
                <w:rFonts w:hint="eastAsia" w:asciiTheme="minorHAnsi" w:hAnsiTheme="minorHAnsi" w:cstheme="minorBidi"/>
                <w:i w:val="0"/>
                <w:iCs w:val="0"/>
                <w:color w:val="auto"/>
                <w:kern w:val="2"/>
                <w:sz w:val="21"/>
                <w:szCs w:val="24"/>
                <w:highlight w:val="none"/>
                <w:lang w:val="en-US" w:eastAsia="zh-CN" w:bidi="ar-SA"/>
              </w:rPr>
              <w:t>1.</w:t>
            </w:r>
            <w:r>
              <w:rPr>
                <w:rFonts w:hint="eastAsia" w:asciiTheme="minorHAnsi" w:hAnsiTheme="minorHAnsi" w:eastAsiaTheme="minorEastAsia" w:cstheme="minorBidi"/>
                <w:i w:val="0"/>
                <w:iCs w:val="0"/>
                <w:color w:val="auto"/>
                <w:kern w:val="2"/>
                <w:sz w:val="21"/>
                <w:szCs w:val="24"/>
                <w:highlight w:val="none"/>
                <w:lang w:val="en-US" w:eastAsia="zh-CN" w:bidi="ar-SA"/>
              </w:rPr>
              <w:t>自2020年1月1日以来（以合同签订时间为准），具有单项合同额50</w:t>
            </w:r>
            <w:r>
              <w:rPr>
                <w:rFonts w:hint="eastAsia" w:asciiTheme="minorHAnsi" w:hAnsiTheme="minorHAnsi" w:cstheme="minorBidi"/>
                <w:i w:val="0"/>
                <w:iCs w:val="0"/>
                <w:color w:val="auto"/>
                <w:kern w:val="2"/>
                <w:sz w:val="21"/>
                <w:szCs w:val="24"/>
                <w:highlight w:val="none"/>
                <w:lang w:val="en-US" w:eastAsia="zh-CN" w:bidi="ar-SA"/>
              </w:rPr>
              <w:t>~</w:t>
            </w:r>
            <w:r>
              <w:rPr>
                <w:rFonts w:hint="eastAsia" w:asciiTheme="minorHAnsi" w:hAnsiTheme="minorHAnsi" w:eastAsiaTheme="minorEastAsia" w:cstheme="minorBidi"/>
                <w:i w:val="0"/>
                <w:iCs w:val="0"/>
                <w:color w:val="auto"/>
                <w:kern w:val="2"/>
                <w:sz w:val="21"/>
                <w:szCs w:val="24"/>
                <w:highlight w:val="none"/>
                <w:lang w:val="en-US" w:eastAsia="zh-CN" w:bidi="ar-SA"/>
              </w:rPr>
              <w:t>100万元（含）的卫生间</w:t>
            </w:r>
            <w:r>
              <w:rPr>
                <w:rFonts w:hint="eastAsia" w:asciiTheme="minorHAnsi" w:hAnsiTheme="minorHAnsi" w:cstheme="minorBidi"/>
                <w:i w:val="0"/>
                <w:iCs w:val="0"/>
                <w:color w:val="auto"/>
                <w:kern w:val="2"/>
                <w:sz w:val="21"/>
                <w:szCs w:val="24"/>
                <w:highlight w:val="none"/>
                <w:lang w:val="en-US" w:eastAsia="zh-CN" w:bidi="ar-SA"/>
              </w:rPr>
              <w:t>铝蜂窝板</w:t>
            </w:r>
            <w:r>
              <w:rPr>
                <w:rFonts w:hint="eastAsia" w:asciiTheme="minorHAnsi" w:hAnsiTheme="minorHAnsi" w:eastAsiaTheme="minorEastAsia" w:cstheme="minorBidi"/>
                <w:i w:val="0"/>
                <w:iCs w:val="0"/>
                <w:color w:val="auto"/>
                <w:kern w:val="2"/>
                <w:sz w:val="21"/>
                <w:szCs w:val="24"/>
                <w:highlight w:val="none"/>
                <w:lang w:val="en-US" w:eastAsia="zh-CN" w:bidi="ar-SA"/>
              </w:rPr>
              <w:t>隔断销售合同业绩，每提供一个业绩得</w:t>
            </w:r>
            <w:r>
              <w:rPr>
                <w:rFonts w:hint="eastAsia" w:asciiTheme="minorHAnsi" w:hAnsiTheme="minorHAnsi" w:cstheme="minorBidi"/>
                <w:i w:val="0"/>
                <w:iCs w:val="0"/>
                <w:color w:val="auto"/>
                <w:kern w:val="2"/>
                <w:sz w:val="21"/>
                <w:szCs w:val="24"/>
                <w:highlight w:val="none"/>
                <w:lang w:val="en-US" w:eastAsia="zh-CN" w:bidi="ar-SA"/>
              </w:rPr>
              <w:t>6</w:t>
            </w:r>
            <w:r>
              <w:rPr>
                <w:rFonts w:hint="eastAsia" w:asciiTheme="minorHAnsi" w:hAnsiTheme="minorHAnsi" w:eastAsiaTheme="minorEastAsia" w:cstheme="minorBidi"/>
                <w:i w:val="0"/>
                <w:iCs w:val="0"/>
                <w:color w:val="auto"/>
                <w:kern w:val="2"/>
                <w:sz w:val="21"/>
                <w:szCs w:val="24"/>
                <w:highlight w:val="none"/>
                <w:lang w:val="en-US" w:eastAsia="zh-CN" w:bidi="ar-SA"/>
              </w:rPr>
              <w:t>分；</w:t>
            </w:r>
          </w:p>
          <w:p>
            <w:pPr>
              <w:pStyle w:val="4"/>
              <w:keepNext w:val="0"/>
              <w:keepLines w:val="0"/>
              <w:pageBreakBefore w:val="0"/>
              <w:widowControl w:val="0"/>
              <w:kinsoku/>
              <w:wordWrap/>
              <w:overflowPunct/>
              <w:topLinePunct w:val="0"/>
              <w:autoSpaceDE/>
              <w:autoSpaceDN/>
              <w:bidi w:val="0"/>
              <w:spacing w:line="300" w:lineRule="exact"/>
              <w:ind w:left="0" w:leftChars="0" w:right="0" w:firstLine="420" w:firstLineChars="200"/>
              <w:jc w:val="both"/>
              <w:textAlignment w:val="auto"/>
              <w:rPr>
                <w:rFonts w:hint="eastAsia" w:asciiTheme="minorHAnsi" w:hAnsiTheme="minorHAnsi" w:eastAsiaTheme="minorEastAsia" w:cstheme="minorBidi"/>
                <w:i w:val="0"/>
                <w:iCs w:val="0"/>
                <w:color w:val="auto"/>
                <w:kern w:val="2"/>
                <w:sz w:val="21"/>
                <w:szCs w:val="24"/>
                <w:highlight w:val="none"/>
                <w:lang w:val="en-US" w:eastAsia="zh-CN" w:bidi="ar-SA"/>
              </w:rPr>
            </w:pPr>
            <w:r>
              <w:rPr>
                <w:rFonts w:hint="eastAsia" w:asciiTheme="minorHAnsi" w:hAnsiTheme="minorHAnsi" w:cstheme="minorBidi"/>
                <w:i w:val="0"/>
                <w:iCs w:val="0"/>
                <w:color w:val="auto"/>
                <w:kern w:val="2"/>
                <w:sz w:val="21"/>
                <w:szCs w:val="24"/>
                <w:highlight w:val="none"/>
                <w:lang w:val="en-US" w:eastAsia="zh-CN" w:bidi="ar-SA"/>
              </w:rPr>
              <w:t>2.</w:t>
            </w:r>
            <w:r>
              <w:rPr>
                <w:rFonts w:hint="eastAsia" w:asciiTheme="minorHAnsi" w:hAnsiTheme="minorHAnsi" w:eastAsiaTheme="minorEastAsia" w:cstheme="minorBidi"/>
                <w:i w:val="0"/>
                <w:iCs w:val="0"/>
                <w:color w:val="auto"/>
                <w:kern w:val="2"/>
                <w:sz w:val="21"/>
                <w:szCs w:val="24"/>
                <w:highlight w:val="none"/>
                <w:lang w:val="en-US" w:eastAsia="zh-CN" w:bidi="ar-SA"/>
              </w:rPr>
              <w:t>具有单项合同额100万元</w:t>
            </w:r>
            <w:r>
              <w:rPr>
                <w:rFonts w:hint="eastAsia" w:asciiTheme="minorHAnsi" w:hAnsiTheme="minorHAnsi" w:cstheme="minorBidi"/>
                <w:i w:val="0"/>
                <w:iCs w:val="0"/>
                <w:color w:val="auto"/>
                <w:kern w:val="2"/>
                <w:sz w:val="21"/>
                <w:szCs w:val="24"/>
                <w:highlight w:val="none"/>
                <w:lang w:val="en-US" w:eastAsia="zh-CN" w:bidi="ar-SA"/>
              </w:rPr>
              <w:t>以上</w:t>
            </w:r>
            <w:r>
              <w:rPr>
                <w:rFonts w:hint="eastAsia" w:asciiTheme="minorHAnsi" w:hAnsiTheme="minorHAnsi" w:eastAsiaTheme="minorEastAsia" w:cstheme="minorBidi"/>
                <w:i w:val="0"/>
                <w:iCs w:val="0"/>
                <w:color w:val="auto"/>
                <w:kern w:val="2"/>
                <w:sz w:val="21"/>
                <w:szCs w:val="24"/>
                <w:highlight w:val="none"/>
                <w:lang w:val="en-US" w:eastAsia="zh-CN" w:bidi="ar-SA"/>
              </w:rPr>
              <w:t>的卫生间</w:t>
            </w:r>
            <w:r>
              <w:rPr>
                <w:rFonts w:hint="eastAsia" w:asciiTheme="minorHAnsi" w:hAnsiTheme="minorHAnsi" w:cstheme="minorBidi"/>
                <w:i w:val="0"/>
                <w:iCs w:val="0"/>
                <w:color w:val="auto"/>
                <w:kern w:val="2"/>
                <w:sz w:val="21"/>
                <w:szCs w:val="24"/>
                <w:highlight w:val="none"/>
                <w:lang w:val="en-US" w:eastAsia="zh-CN" w:bidi="ar-SA"/>
              </w:rPr>
              <w:t>铝蜂窝板</w:t>
            </w:r>
            <w:r>
              <w:rPr>
                <w:rFonts w:hint="eastAsia" w:asciiTheme="minorHAnsi" w:hAnsiTheme="minorHAnsi" w:eastAsiaTheme="minorEastAsia" w:cstheme="minorBidi"/>
                <w:i w:val="0"/>
                <w:iCs w:val="0"/>
                <w:color w:val="auto"/>
                <w:kern w:val="2"/>
                <w:sz w:val="21"/>
                <w:szCs w:val="24"/>
                <w:highlight w:val="none"/>
                <w:lang w:val="en-US" w:eastAsia="zh-CN" w:bidi="ar-SA"/>
              </w:rPr>
              <w:t>隔断销售合同业绩，每提供一个业绩得10分。</w:t>
            </w:r>
          </w:p>
          <w:p>
            <w:pPr>
              <w:pStyle w:val="4"/>
              <w:keepNext w:val="0"/>
              <w:keepLines w:val="0"/>
              <w:pageBreakBefore w:val="0"/>
              <w:widowControl w:val="0"/>
              <w:kinsoku/>
              <w:wordWrap/>
              <w:overflowPunct/>
              <w:topLinePunct w:val="0"/>
              <w:autoSpaceDE/>
              <w:autoSpaceDN/>
              <w:bidi w:val="0"/>
              <w:spacing w:line="300" w:lineRule="exact"/>
              <w:ind w:left="0" w:leftChars="0" w:right="0" w:firstLine="420" w:firstLineChars="200"/>
              <w:jc w:val="both"/>
              <w:textAlignment w:val="auto"/>
              <w:rPr>
                <w:rFonts w:hint="eastAsia" w:asciiTheme="minorHAnsi" w:hAnsiTheme="minorHAnsi" w:eastAsiaTheme="minorEastAsia" w:cstheme="minorBidi"/>
                <w:i w:val="0"/>
                <w:iCs w:val="0"/>
                <w:color w:val="auto"/>
                <w:kern w:val="2"/>
                <w:sz w:val="21"/>
                <w:szCs w:val="24"/>
                <w:highlight w:val="yellow"/>
                <w:lang w:val="en-US" w:eastAsia="zh-CN" w:bidi="ar-SA"/>
              </w:rPr>
            </w:pPr>
            <w:r>
              <w:rPr>
                <w:rFonts w:hint="eastAsia" w:asciiTheme="minorHAnsi" w:hAnsiTheme="minorHAnsi" w:cstheme="minorBidi"/>
                <w:i w:val="0"/>
                <w:iCs w:val="0"/>
                <w:color w:val="auto"/>
                <w:kern w:val="2"/>
                <w:sz w:val="21"/>
                <w:szCs w:val="24"/>
                <w:highlight w:val="yellow"/>
                <w:lang w:val="en-US" w:eastAsia="zh-CN" w:bidi="ar-SA"/>
              </w:rPr>
              <w:t>注：1.</w:t>
            </w:r>
            <w:r>
              <w:rPr>
                <w:rFonts w:hint="eastAsia" w:asciiTheme="minorHAnsi" w:hAnsiTheme="minorHAnsi" w:eastAsiaTheme="minorEastAsia" w:cstheme="minorBidi"/>
                <w:i w:val="0"/>
                <w:iCs w:val="0"/>
                <w:color w:val="auto"/>
                <w:kern w:val="2"/>
                <w:sz w:val="21"/>
                <w:szCs w:val="24"/>
                <w:highlight w:val="yellow"/>
                <w:lang w:val="en-US" w:eastAsia="zh-CN" w:bidi="ar-SA"/>
              </w:rPr>
              <w:t>此项满分40分，供应商可提供任意数量合同，评审委员会将按照供应商提供的有效业绩合同金额由高到低最多选取4个计分。</w:t>
            </w:r>
          </w:p>
          <w:p>
            <w:pPr>
              <w:pStyle w:val="2"/>
              <w:keepNext w:val="0"/>
              <w:keepLines w:val="0"/>
              <w:pageBreakBefore w:val="0"/>
              <w:widowControl w:val="0"/>
              <w:numPr>
                <w:numId w:val="0"/>
              </w:numPr>
              <w:kinsoku/>
              <w:wordWrap/>
              <w:overflowPunct/>
              <w:topLinePunct w:val="0"/>
              <w:autoSpaceDE/>
              <w:autoSpaceDN/>
              <w:bidi w:val="0"/>
              <w:adjustRightInd w:val="0"/>
              <w:snapToGrid w:val="0"/>
              <w:spacing w:after="0" w:line="300" w:lineRule="exact"/>
              <w:ind w:right="0" w:firstLine="420" w:firstLineChars="200"/>
              <w:jc w:val="both"/>
              <w:textAlignment w:val="auto"/>
              <w:rPr>
                <w:rFonts w:hint="eastAsia"/>
                <w:highlight w:val="yellow"/>
                <w:lang w:val="en-US" w:eastAsia="zh-CN"/>
              </w:rPr>
            </w:pPr>
            <w:r>
              <w:rPr>
                <w:rFonts w:hint="eastAsia"/>
                <w:highlight w:val="yellow"/>
                <w:lang w:val="en-US" w:eastAsia="zh-CN"/>
              </w:rPr>
              <w:t>2.响应</w:t>
            </w:r>
            <w:r>
              <w:rPr>
                <w:rFonts w:hint="eastAsia"/>
                <w:highlight w:val="yellow"/>
              </w:rPr>
              <w:t>文件中提供业绩合同扫描件，</w:t>
            </w:r>
            <w:r>
              <w:rPr>
                <w:rFonts w:hint="eastAsia"/>
                <w:highlight w:val="yellow"/>
              </w:rPr>
              <w:t>如业绩合同中无法体现合同签订时间、供货内容</w:t>
            </w:r>
            <w:r>
              <w:rPr>
                <w:rFonts w:hint="eastAsia"/>
                <w:highlight w:val="yellow"/>
                <w:lang w:eastAsia="zh-CN"/>
              </w:rPr>
              <w:t>、</w:t>
            </w:r>
            <w:r>
              <w:rPr>
                <w:rFonts w:hint="eastAsia"/>
                <w:highlight w:val="yellow"/>
                <w:lang w:val="en-US" w:eastAsia="zh-CN"/>
              </w:rPr>
              <w:t>金额</w:t>
            </w:r>
            <w:r>
              <w:rPr>
                <w:rFonts w:hint="eastAsia"/>
                <w:highlight w:val="yellow"/>
              </w:rPr>
              <w:t>等信息，</w:t>
            </w:r>
            <w:r>
              <w:rPr>
                <w:rFonts w:hint="eastAsia"/>
                <w:highlight w:val="yellow"/>
                <w:lang w:val="en-US" w:eastAsia="zh-CN"/>
              </w:rPr>
              <w:t>应另附合同甲方证明材料（须加盖合同甲方单位章）予以明确说明，否则评审委员会不予认可。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line="300" w:lineRule="exact"/>
              <w:ind w:right="0" w:firstLine="420" w:firstLineChars="200"/>
              <w:jc w:val="both"/>
              <w:textAlignment w:val="auto"/>
              <w:rPr>
                <w:rFonts w:hint="default"/>
                <w:highlight w:val="none"/>
                <w:lang w:val="en-US" w:eastAsia="zh-CN"/>
              </w:rPr>
            </w:pPr>
            <w:r>
              <w:rPr>
                <w:rFonts w:hint="eastAsia"/>
                <w:highlight w:val="yellow"/>
                <w:lang w:val="en-US" w:eastAsia="zh-CN"/>
              </w:rPr>
              <w:t>3.资格审查业绩不作为商务及技术文件评审业绩。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jc w:val="center"/>
        </w:trPr>
        <w:tc>
          <w:tcPr>
            <w:tcW w:w="469" w:type="pct"/>
            <w:vMerge w:val="continue"/>
            <w:vAlign w:val="center"/>
          </w:tcPr>
          <w:p>
            <w:pPr>
              <w:pStyle w:val="2"/>
              <w:adjustRightInd w:val="0"/>
              <w:snapToGrid w:val="0"/>
              <w:rPr>
                <w:rFonts w:hint="eastAsia" w:ascii="宋体" w:hAnsi="宋体" w:eastAsia="宋体" w:cs="宋体"/>
                <w:sz w:val="21"/>
                <w:szCs w:val="21"/>
                <w:highlight w:val="none"/>
              </w:rPr>
            </w:pPr>
          </w:p>
        </w:tc>
        <w:tc>
          <w:tcPr>
            <w:tcW w:w="492"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71" w:type="pct"/>
            <w:vAlign w:val="center"/>
          </w:tcPr>
          <w:p>
            <w:pPr>
              <w:ind w:left="618" w:hanging="630" w:hangingChars="30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检测报告</w:t>
            </w:r>
          </w:p>
          <w:p>
            <w:pPr>
              <w:ind w:left="618" w:hanging="630" w:hangingChars="3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66" w:type="pct"/>
            <w:vAlign w:val="center"/>
          </w:tcPr>
          <w:p>
            <w:pPr>
              <w:pStyle w:val="1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供应商提供所投品牌生产厂家的铝蜂窝复合板有检测报告，得10分，满分10分。</w:t>
            </w:r>
          </w:p>
          <w:p>
            <w:pPr>
              <w:keepNext w:val="0"/>
              <w:keepLines w:val="0"/>
              <w:pageBreakBefore w:val="0"/>
              <w:widowControl w:val="0"/>
              <w:kinsoku/>
              <w:wordWrap/>
              <w:overflowPunct/>
              <w:topLinePunct w:val="0"/>
              <w:autoSpaceDE/>
              <w:autoSpaceDN/>
              <w:bidi w:val="0"/>
              <w:adjustRightInd/>
              <w:snapToGrid/>
              <w:jc w:val="both"/>
              <w:textAlignment w:val="auto"/>
              <w:rPr>
                <w:rFonts w:hint="default"/>
                <w:highlight w:val="none"/>
                <w:lang w:val="en-US" w:eastAsia="zh-CN"/>
              </w:rPr>
            </w:pPr>
            <w:r>
              <w:rPr>
                <w:rFonts w:hint="eastAsia" w:ascii="宋体" w:hAnsi="宋体" w:eastAsia="宋体" w:cs="宋体"/>
                <w:color w:val="auto"/>
                <w:kern w:val="0"/>
                <w:sz w:val="21"/>
                <w:szCs w:val="21"/>
                <w:highlight w:val="none"/>
                <w:u w:val="none"/>
                <w:lang w:val="en-US" w:eastAsia="zh-CN" w:bidi="ar"/>
              </w:rPr>
              <w:t>注：须提供合格有效的国内或国际检测机构出具的检测报告。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69" w:type="pct"/>
            <w:vMerge w:val="continue"/>
            <w:vAlign w:val="center"/>
          </w:tcPr>
          <w:p>
            <w:pPr>
              <w:pStyle w:val="2"/>
              <w:adjustRightInd w:val="0"/>
              <w:snapToGrid w:val="0"/>
              <w:rPr>
                <w:rFonts w:hint="eastAsia" w:ascii="宋体" w:hAnsi="宋体" w:eastAsia="宋体" w:cs="宋体"/>
                <w:sz w:val="21"/>
                <w:szCs w:val="21"/>
                <w:highlight w:val="none"/>
              </w:rPr>
            </w:pPr>
          </w:p>
        </w:tc>
        <w:tc>
          <w:tcPr>
            <w:tcW w:w="492"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71" w:type="pct"/>
            <w:vAlign w:val="center"/>
          </w:tcPr>
          <w:p>
            <w:pPr>
              <w:ind w:left="618" w:hanging="630" w:hangingChars="30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厂房面积</w:t>
            </w:r>
          </w:p>
          <w:p>
            <w:pPr>
              <w:ind w:left="618" w:hanging="630" w:hangingChars="30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66" w:type="pct"/>
            <w:vAlign w:val="center"/>
          </w:tcPr>
          <w:p>
            <w:pPr>
              <w:pStyle w:val="18"/>
              <w:jc w:val="both"/>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供应商须提供所投品牌生产厂家工厂规模：</w:t>
            </w:r>
          </w:p>
          <w:p>
            <w:pPr>
              <w:pStyle w:val="18"/>
              <w:numPr>
                <w:ilvl w:val="0"/>
                <w:numId w:val="0"/>
              </w:numPr>
              <w:jc w:val="both"/>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none"/>
                <w:lang w:val="en-US" w:eastAsia="zh-CN" w:bidi="ar"/>
              </w:rPr>
              <w:t>所投生产厂家工厂面积达到1000平方米以上的，得满分10分；</w:t>
            </w:r>
          </w:p>
          <w:p>
            <w:pPr>
              <w:pStyle w:val="18"/>
              <w:numPr>
                <w:ilvl w:val="0"/>
                <w:numId w:val="0"/>
              </w:numPr>
              <w:jc w:val="both"/>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none"/>
                <w:lang w:val="en-US" w:eastAsia="zh-CN" w:bidi="ar"/>
              </w:rPr>
              <w:t>所投生产厂家工厂面积达到800（含）-1000（不含）平方米的，得6分。</w:t>
            </w:r>
          </w:p>
          <w:p>
            <w:pPr>
              <w:pStyle w:val="18"/>
              <w:numPr>
                <w:ilvl w:val="0"/>
                <w:numId w:val="0"/>
              </w:numPr>
              <w:jc w:val="both"/>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3、所投生产厂家工厂面积达到500（含）-800（不含）平方米的，得3分。</w:t>
            </w:r>
          </w:p>
          <w:p>
            <w:pPr>
              <w:rPr>
                <w:rFonts w:hint="eastAsia"/>
                <w:highlight w:val="none"/>
                <w:lang w:val="en-US" w:eastAsia="zh-CN"/>
              </w:rPr>
            </w:pPr>
            <w:r>
              <w:rPr>
                <w:rFonts w:hint="eastAsia"/>
                <w:highlight w:val="none"/>
                <w:lang w:val="en-US" w:eastAsia="zh-CN"/>
              </w:rPr>
              <w:t>4、所投生产厂家工厂面积为500平方米以下不得分。</w:t>
            </w:r>
          </w:p>
          <w:p>
            <w:pPr>
              <w:rPr>
                <w:rFonts w:hint="eastAsia"/>
                <w:highlight w:val="none"/>
                <w:lang w:val="en-US" w:eastAsia="zh-CN"/>
              </w:rPr>
            </w:pPr>
            <w:r>
              <w:rPr>
                <w:rFonts w:hint="eastAsia"/>
                <w:highlight w:val="none"/>
                <w:lang w:val="en-US" w:eastAsia="zh-CN"/>
              </w:rPr>
              <w:t>注：1、响应文件中须提供房产证明或租赁合同或购房合同等证明材料；</w:t>
            </w:r>
          </w:p>
          <w:p>
            <w:pPr>
              <w:pStyle w:val="20"/>
              <w:numPr>
                <w:ilvl w:val="0"/>
                <w:numId w:val="5"/>
              </w:numPr>
              <w:ind w:left="0" w:leftChars="0" w:firstLine="0" w:firstLineChars="0"/>
              <w:rPr>
                <w:rFonts w:hint="eastAsia"/>
                <w:highlight w:val="none"/>
                <w:lang w:val="en-US" w:eastAsia="zh-CN"/>
              </w:rPr>
            </w:pPr>
            <w:r>
              <w:rPr>
                <w:rFonts w:hint="eastAsia"/>
                <w:highlight w:val="none"/>
                <w:lang w:val="en-US" w:eastAsia="zh-CN"/>
              </w:rPr>
              <w:t>响应文件中须提供真实的厂房（包含制作加工车间、仓库料仓等）现场照片，如提供虚假资料将从《项目合格供方名录》中予以删除，进入公司《项目不合格供方黑名单名录》，并没收投标保证金。</w:t>
            </w:r>
          </w:p>
          <w:p>
            <w:pPr>
              <w:numPr>
                <w:ilvl w:val="0"/>
                <w:numId w:val="0"/>
              </w:numPr>
              <w:rPr>
                <w:rFonts w:hint="default"/>
                <w:highlight w:val="none"/>
                <w:lang w:val="en-US" w:eastAsia="zh-CN"/>
              </w:rPr>
            </w:pPr>
            <w:r>
              <w:rPr>
                <w:rFonts w:hint="eastAsia"/>
                <w:highlight w:val="yellow"/>
                <w:lang w:val="en-US" w:eastAsia="zh-CN"/>
              </w:rPr>
              <w:t>3、供应商所提供所有照片及合同应当清晰易分辨，正本中所提供照片须提供彩色照片加盖公章，如评审期间发现供应商提供黑白照片或照片无法辨识，此项（厂房面积）不得分。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1" w:hRule="atLeast"/>
          <w:jc w:val="center"/>
        </w:trPr>
        <w:tc>
          <w:tcPr>
            <w:tcW w:w="469" w:type="pct"/>
            <w:vMerge w:val="continue"/>
            <w:vAlign w:val="center"/>
          </w:tcPr>
          <w:p>
            <w:pPr>
              <w:pStyle w:val="2"/>
              <w:adjustRightInd w:val="0"/>
              <w:snapToGrid w:val="0"/>
              <w:rPr>
                <w:rFonts w:hint="eastAsia" w:ascii="宋体" w:hAnsi="宋体" w:eastAsia="宋体" w:cs="宋体"/>
                <w:sz w:val="21"/>
                <w:szCs w:val="21"/>
                <w:highlight w:val="none"/>
              </w:rPr>
            </w:pPr>
          </w:p>
        </w:tc>
        <w:tc>
          <w:tcPr>
            <w:tcW w:w="492" w:type="pct"/>
            <w:vMerge w:val="continue"/>
            <w:vAlign w:val="center"/>
          </w:tcPr>
          <w:p>
            <w:pPr>
              <w:pStyle w:val="2"/>
              <w:adjustRightInd w:val="0"/>
              <w:snapToGrid w:val="0"/>
              <w:ind w:left="210" w:hanging="210" w:hangingChars="100"/>
              <w:rPr>
                <w:rFonts w:hint="eastAsia" w:ascii="宋体" w:hAnsi="宋体" w:eastAsia="宋体" w:cs="宋体"/>
                <w:sz w:val="21"/>
                <w:szCs w:val="21"/>
                <w:highlight w:val="none"/>
                <w:lang w:val="en-US" w:eastAsia="zh-CN"/>
              </w:rPr>
            </w:pPr>
          </w:p>
        </w:tc>
        <w:tc>
          <w:tcPr>
            <w:tcW w:w="871" w:type="pct"/>
            <w:vAlign w:val="center"/>
          </w:tcPr>
          <w:p>
            <w:pPr>
              <w:pStyle w:val="20"/>
              <w:ind w:left="0" w:leftChars="0"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生产设备</w:t>
            </w:r>
          </w:p>
          <w:p>
            <w:pPr>
              <w:pStyle w:val="20"/>
              <w:ind w:left="0" w:leftChars="0" w:firstLine="0" w:firstLineChars="0"/>
              <w:rPr>
                <w:rFonts w:hint="default"/>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10 </w:t>
            </w:r>
            <w:r>
              <w:rPr>
                <w:rFonts w:hint="eastAsia" w:ascii="宋体" w:hAnsi="宋体" w:eastAsia="宋体" w:cs="宋体"/>
                <w:sz w:val="21"/>
                <w:szCs w:val="21"/>
                <w:highlight w:val="none"/>
                <w:u w:val="none"/>
                <w:lang w:val="en-US" w:eastAsia="zh-CN"/>
              </w:rPr>
              <w:t>分</w:t>
            </w:r>
            <w:r>
              <w:rPr>
                <w:rFonts w:hint="eastAsia" w:ascii="宋体" w:hAnsi="宋体" w:eastAsia="宋体" w:cs="宋体"/>
                <w:sz w:val="21"/>
                <w:szCs w:val="21"/>
                <w:highlight w:val="none"/>
                <w:lang w:eastAsia="zh-CN"/>
              </w:rPr>
              <w:t>）</w:t>
            </w:r>
          </w:p>
        </w:tc>
        <w:tc>
          <w:tcPr>
            <w:tcW w:w="3166" w:type="pct"/>
            <w:vAlign w:val="center"/>
          </w:tcPr>
          <w:p>
            <w:pPr>
              <w:pStyle w:val="2"/>
              <w:numPr>
                <w:ilvl w:val="0"/>
                <w:numId w:val="0"/>
              </w:numP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none"/>
                <w:lang w:val="en-US" w:eastAsia="zh-CN" w:bidi="ar"/>
              </w:rPr>
              <w:t>供应商应具有专业，先进科学的生产、检验设备，评审委员会针对供应商提供的投标产品生产、检验设备进行综合评分，设备科学先进，优秀的得10-8分；一般的得7-5分；较差的得基础分4分。</w:t>
            </w:r>
          </w:p>
          <w:p>
            <w:pPr>
              <w:pStyle w:val="2"/>
              <w:numPr>
                <w:ilvl w:val="0"/>
                <w:numId w:val="0"/>
              </w:numPr>
              <w:rPr>
                <w:rFonts w:hint="eastAsia" w:ascii="宋体" w:hAnsi="宋体" w:eastAsia="宋体" w:cs="宋体"/>
                <w:color w:val="auto"/>
                <w:kern w:val="0"/>
                <w:sz w:val="21"/>
                <w:szCs w:val="21"/>
                <w:highlight w:val="none"/>
                <w:u w:val="none"/>
                <w:lang w:val="en-US" w:eastAsia="zh-CN" w:bidi="ar"/>
              </w:rPr>
            </w:pPr>
            <w:r>
              <w:rPr>
                <w:rFonts w:hint="eastAsia" w:ascii="宋体" w:hAnsi="宋体" w:eastAsia="宋体" w:cs="宋体"/>
                <w:color w:val="auto"/>
                <w:kern w:val="0"/>
                <w:sz w:val="21"/>
                <w:szCs w:val="21"/>
                <w:highlight w:val="none"/>
                <w:u w:val="none"/>
                <w:lang w:val="en-US" w:eastAsia="zh-CN" w:bidi="ar"/>
              </w:rPr>
              <w:t>注：1、供应商应提供设备清单及设备照片等相关证明材料，未提供不得分。</w:t>
            </w:r>
          </w:p>
          <w:p>
            <w:pPr>
              <w:pStyle w:val="3"/>
              <w:rPr>
                <w:rFonts w:hint="default"/>
                <w:highlight w:val="none"/>
                <w:lang w:val="en-US" w:eastAsia="zh-CN"/>
              </w:rPr>
            </w:pPr>
            <w:r>
              <w:rPr>
                <w:rFonts w:hint="eastAsia" w:ascii="宋体" w:hAnsi="宋体" w:eastAsia="宋体" w:cs="宋体"/>
                <w:color w:val="auto"/>
                <w:kern w:val="0"/>
                <w:sz w:val="21"/>
                <w:szCs w:val="21"/>
                <w:highlight w:val="yellow"/>
                <w:u w:val="none"/>
                <w:lang w:val="en-US" w:eastAsia="zh-CN" w:bidi="ar"/>
              </w:rPr>
              <w:t>2、供应商所提供设备照片应当清晰易分辨，正本中所提供照片须提供彩色照片加盖公章，如评审期间发现供应商提供黑白照片或照片无法辨识，此项（生产设备）不得分。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jc w:val="center"/>
        </w:trPr>
        <w:tc>
          <w:tcPr>
            <w:tcW w:w="469" w:type="pct"/>
            <w:vMerge w:val="continue"/>
            <w:vAlign w:val="center"/>
          </w:tcPr>
          <w:p>
            <w:pPr>
              <w:pStyle w:val="2"/>
              <w:adjustRightInd w:val="0"/>
              <w:snapToGrid w:val="0"/>
              <w:rPr>
                <w:rFonts w:hint="eastAsia" w:ascii="宋体" w:hAnsi="宋体" w:eastAsia="宋体" w:cs="宋体"/>
                <w:sz w:val="21"/>
                <w:szCs w:val="21"/>
                <w:highlight w:val="none"/>
              </w:rPr>
            </w:pPr>
          </w:p>
        </w:tc>
        <w:tc>
          <w:tcPr>
            <w:tcW w:w="492" w:type="pct"/>
            <w:vMerge w:val="continue"/>
            <w:vAlign w:val="center"/>
          </w:tcPr>
          <w:p>
            <w:pPr>
              <w:pStyle w:val="2"/>
              <w:adjustRightInd w:val="0"/>
              <w:snapToGrid w:val="0"/>
              <w:rPr>
                <w:rFonts w:hint="eastAsia" w:ascii="宋体" w:hAnsi="宋体" w:eastAsia="宋体" w:cs="宋体"/>
                <w:sz w:val="21"/>
                <w:szCs w:val="21"/>
                <w:highlight w:val="none"/>
              </w:rPr>
            </w:pPr>
          </w:p>
        </w:tc>
        <w:tc>
          <w:tcPr>
            <w:tcW w:w="871" w:type="pct"/>
            <w:vAlign w:val="center"/>
          </w:tcPr>
          <w:p>
            <w:pPr>
              <w:pStyle w:val="2"/>
              <w:adjustRightInd w:val="0"/>
              <w:snapToGrid w:val="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供货方案</w:t>
            </w:r>
          </w:p>
          <w:p>
            <w:pPr>
              <w:pStyle w:val="2"/>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满分</w:t>
            </w:r>
            <w:r>
              <w:rPr>
                <w:rFonts w:hint="eastAsia" w:ascii="宋体" w:hAnsi="宋体" w:eastAsia="宋体" w:cs="宋体"/>
                <w:sz w:val="21"/>
                <w:szCs w:val="21"/>
                <w:highlight w:val="none"/>
                <w:u w:val="single"/>
                <w:lang w:val="en-US" w:eastAsia="zh-CN"/>
              </w:rPr>
              <w:t xml:space="preserve"> 30  </w:t>
            </w:r>
            <w:r>
              <w:rPr>
                <w:rFonts w:hint="eastAsia" w:ascii="宋体" w:hAnsi="宋体" w:eastAsia="宋体" w:cs="宋体"/>
                <w:sz w:val="21"/>
                <w:szCs w:val="21"/>
                <w:highlight w:val="none"/>
              </w:rPr>
              <w:t>分）</w:t>
            </w:r>
          </w:p>
        </w:tc>
        <w:tc>
          <w:tcPr>
            <w:tcW w:w="3166" w:type="pct"/>
            <w:vAlign w:val="center"/>
          </w:tcPr>
          <w:p>
            <w:pPr>
              <w:pStyle w:val="2"/>
              <w:numPr>
                <w:ilvl w:val="0"/>
                <w:numId w:val="6"/>
              </w:numPr>
              <w:adjustRightInd w:val="0"/>
              <w:snapToGrid w:val="0"/>
              <w:ind w:firstLine="210" w:firstLineChars="100"/>
              <w:jc w:val="left"/>
              <w:rPr>
                <w:rFonts w:hint="eastAsia" w:ascii="宋体" w:hAnsi="宋体" w:eastAsia="宋体" w:cs="宋体"/>
                <w:b w:val="0"/>
                <w:bCs w:val="0"/>
                <w:sz w:val="21"/>
                <w:szCs w:val="21"/>
                <w:highlight w:val="none"/>
                <w:lang w:val="en-US" w:eastAsia="zh-CN"/>
              </w:rPr>
            </w:pPr>
            <w:r>
              <w:rPr>
                <w:rFonts w:hint="eastAsia" w:cstheme="minorBidi"/>
                <w:b w:val="0"/>
                <w:bCs w:val="0"/>
                <w:kern w:val="2"/>
                <w:sz w:val="21"/>
                <w:szCs w:val="24"/>
                <w:highlight w:val="none"/>
                <w:lang w:val="en-US" w:eastAsia="zh-CN" w:bidi="ar-SA"/>
              </w:rPr>
              <w:t>针对</w:t>
            </w:r>
            <w:r>
              <w:rPr>
                <w:rFonts w:hint="eastAsia" w:ascii="宋体" w:hAnsi="宋体" w:eastAsia="宋体" w:cs="宋体"/>
                <w:b w:val="0"/>
                <w:bCs w:val="0"/>
                <w:sz w:val="21"/>
                <w:szCs w:val="21"/>
                <w:highlight w:val="none"/>
                <w:lang w:val="en-US" w:eastAsia="zh-CN"/>
              </w:rPr>
              <w:t>本项目编制材料的</w:t>
            </w:r>
            <w:r>
              <w:rPr>
                <w:rFonts w:hint="eastAsia" w:ascii="宋体" w:hAnsi="宋体" w:eastAsia="宋体" w:cs="宋体"/>
                <w:b w:val="0"/>
                <w:bCs w:val="0"/>
                <w:color w:val="auto"/>
                <w:sz w:val="21"/>
                <w:szCs w:val="21"/>
                <w:highlight w:val="none"/>
                <w:lang w:val="en-US" w:eastAsia="zh-CN"/>
              </w:rPr>
              <w:t>生产、供货方案</w:t>
            </w:r>
            <w:r>
              <w:rPr>
                <w:rFonts w:hint="eastAsia" w:ascii="宋体" w:hAnsi="宋体" w:eastAsia="宋体" w:cs="宋体"/>
                <w:b w:val="0"/>
                <w:bCs w:val="0"/>
                <w:sz w:val="21"/>
                <w:szCs w:val="21"/>
                <w:highlight w:val="none"/>
                <w:lang w:val="en-US" w:eastAsia="zh-CN"/>
              </w:rPr>
              <w:t>以及</w:t>
            </w:r>
            <w:r>
              <w:rPr>
                <w:rFonts w:hint="eastAsia" w:cstheme="minorBidi"/>
                <w:b w:val="0"/>
                <w:bCs w:val="0"/>
                <w:kern w:val="2"/>
                <w:sz w:val="21"/>
                <w:szCs w:val="24"/>
                <w:highlight w:val="none"/>
                <w:lang w:val="en-US" w:eastAsia="zh-CN" w:bidi="ar-SA"/>
              </w:rPr>
              <w:t>结合各个服务区的</w:t>
            </w:r>
            <w:r>
              <w:rPr>
                <w:rFonts w:hint="eastAsia" w:cstheme="minorBidi"/>
                <w:b w:val="0"/>
                <w:bCs w:val="0"/>
                <w:color w:val="auto"/>
                <w:kern w:val="2"/>
                <w:sz w:val="21"/>
                <w:szCs w:val="24"/>
                <w:highlight w:val="none"/>
                <w:lang w:val="en-US" w:eastAsia="zh-CN" w:bidi="ar-SA"/>
              </w:rPr>
              <w:t>实际施工情况编制</w:t>
            </w:r>
            <w:r>
              <w:rPr>
                <w:rFonts w:hint="eastAsia" w:cstheme="minorBidi"/>
                <w:b w:val="0"/>
                <w:bCs w:val="0"/>
                <w:kern w:val="2"/>
                <w:sz w:val="21"/>
                <w:szCs w:val="24"/>
                <w:highlight w:val="none"/>
                <w:lang w:val="en-US" w:eastAsia="zh-CN" w:bidi="ar-SA"/>
              </w:rPr>
              <w:t>配送方案。</w:t>
            </w:r>
          </w:p>
          <w:p>
            <w:pPr>
              <w:pStyle w:val="2"/>
              <w:numPr>
                <w:ilvl w:val="0"/>
                <w:numId w:val="6"/>
              </w:numPr>
              <w:adjustRightInd w:val="0"/>
              <w:snapToGrid w:val="0"/>
              <w:ind w:firstLine="210" w:firstLineChars="1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具体、详细，可行性最优，针对性强得16-20分；一般得12-15分，较差得基础分11分。</w:t>
            </w:r>
          </w:p>
          <w:p>
            <w:pPr>
              <w:pStyle w:val="2"/>
              <w:adjustRightInd w:val="0"/>
              <w:snapToGrid w:val="0"/>
              <w:ind w:firstLine="210" w:firstLineChars="100"/>
              <w:jc w:val="left"/>
              <w:rPr>
                <w:rFonts w:hint="eastAsia"/>
                <w:highlight w:val="none"/>
                <w:lang w:eastAsia="zh-CN"/>
              </w:rPr>
            </w:pPr>
            <w:r>
              <w:rPr>
                <w:rFonts w:hint="eastAsia" w:ascii="宋体" w:hAnsi="宋体" w:eastAsia="宋体" w:cs="宋体"/>
                <w:sz w:val="21"/>
                <w:szCs w:val="21"/>
                <w:highlight w:val="none"/>
                <w:lang w:val="en-US" w:eastAsia="zh-CN"/>
              </w:rPr>
              <w:t>2、针对本项目</w:t>
            </w:r>
            <w:r>
              <w:rPr>
                <w:rFonts w:hint="eastAsia" w:ascii="宋体" w:hAnsi="宋体" w:eastAsia="宋体" w:cs="宋体"/>
                <w:sz w:val="21"/>
                <w:szCs w:val="21"/>
                <w:highlight w:val="none"/>
                <w:lang w:val="en-US" w:eastAsia="zh-CN" w:bidi="ar"/>
              </w:rPr>
              <w:t>服务响应时间、服务人员配套情况等，</w:t>
            </w:r>
            <w:r>
              <w:rPr>
                <w:rFonts w:hint="eastAsia" w:ascii="宋体" w:hAnsi="宋体" w:eastAsia="宋体" w:cs="宋体"/>
                <w:sz w:val="21"/>
                <w:szCs w:val="21"/>
                <w:highlight w:val="none"/>
                <w:lang w:val="en-US" w:eastAsia="zh-CN"/>
              </w:rPr>
              <w:t>可行性最优，针对性强得8-10分；一般得6-7分，较差得基础分5分。</w:t>
            </w:r>
            <w:r>
              <w:rPr>
                <w:rFonts w:hint="eastAsia" w:ascii="宋体" w:hAnsi="宋体" w:eastAsia="宋体" w:cs="宋体"/>
                <w:sz w:val="21"/>
                <w:szCs w:val="21"/>
                <w:highlight w:val="none"/>
                <w:lang w:val="en-US" w:eastAsia="zh-CN" w:bidi="ar"/>
              </w:rPr>
              <w:t xml:space="preserve">  </w:t>
            </w:r>
          </w:p>
        </w:tc>
      </w:tr>
    </w:tbl>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jc w:val="left"/>
        <w:rPr>
          <w:rFonts w:hint="eastAsia" w:ascii="Times New Roman" w:hAnsi="Times New Roman" w:eastAsia="黑体" w:cs="Times New Roman"/>
          <w:bCs/>
          <w:sz w:val="24"/>
          <w:szCs w:val="32"/>
          <w:highlight w:val="none"/>
          <w:lang w:val="en-US" w:eastAsia="zh-CN"/>
        </w:rPr>
      </w:pPr>
      <w:r>
        <w:rPr>
          <w:rFonts w:hint="eastAsia" w:ascii="Times New Roman" w:hAnsi="Times New Roman" w:eastAsia="黑体" w:cs="Times New Roman"/>
          <w:bCs/>
          <w:sz w:val="24"/>
          <w:szCs w:val="32"/>
          <w:highlight w:val="none"/>
          <w:lang w:val="en-US" w:eastAsia="zh-CN"/>
        </w:rPr>
        <w:t xml:space="preserve"> </w:t>
      </w:r>
    </w:p>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jc w:val="left"/>
        <w:rPr>
          <w:rFonts w:ascii="Times New Roman" w:hAnsi="Times New Roman" w:eastAsia="黑体" w:cs="Times New Roman"/>
          <w:bCs/>
          <w:sz w:val="24"/>
          <w:szCs w:val="32"/>
          <w:highlight w:val="none"/>
        </w:rPr>
      </w:pPr>
    </w:p>
    <w:p>
      <w:pPr>
        <w:pStyle w:val="2"/>
        <w:rPr>
          <w:rFonts w:ascii="Times New Roman" w:hAnsi="Times New Roman" w:eastAsia="黑体" w:cs="Times New Roman"/>
          <w:bCs/>
          <w:sz w:val="24"/>
          <w:szCs w:val="32"/>
          <w:highlight w:val="none"/>
        </w:rPr>
      </w:pPr>
    </w:p>
    <w:p>
      <w:pPr>
        <w:pStyle w:val="3"/>
        <w:rPr>
          <w:rFonts w:ascii="Times New Roman" w:hAnsi="Times New Roman" w:eastAsia="黑体" w:cs="Times New Roman"/>
          <w:bCs/>
          <w:sz w:val="24"/>
          <w:szCs w:val="32"/>
          <w:highlight w:val="none"/>
        </w:rPr>
      </w:pPr>
    </w:p>
    <w:p>
      <w:pPr>
        <w:pStyle w:val="4"/>
        <w:rPr>
          <w:rFonts w:ascii="Times New Roman" w:hAnsi="Times New Roman" w:eastAsia="黑体" w:cs="Times New Roman"/>
          <w:bCs/>
          <w:sz w:val="24"/>
          <w:szCs w:val="32"/>
          <w:highlight w:val="none"/>
        </w:rPr>
      </w:pPr>
    </w:p>
    <w:p>
      <w:pPr>
        <w:rPr>
          <w:rFonts w:ascii="Times New Roman" w:hAnsi="Times New Roman" w:eastAsia="黑体" w:cs="Times New Roman"/>
          <w:bCs/>
          <w:sz w:val="24"/>
          <w:szCs w:val="32"/>
          <w:highlight w:val="none"/>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r>
        <w:br w:type="textWrapping"/>
      </w:r>
    </w:p>
    <w:p>
      <w:pPr>
        <w:pStyle w:val="2"/>
        <w:rPr>
          <w:rFonts w:ascii="Times New Roman" w:hAnsi="Times New Roman" w:eastAsia="黑体" w:cs="Times New Roman"/>
          <w:bCs/>
          <w:sz w:val="24"/>
          <w:szCs w:val="32"/>
          <w:highlight w:val="none"/>
        </w:rPr>
      </w:pPr>
    </w:p>
    <w:p>
      <w:pPr>
        <w:pStyle w:val="3"/>
        <w:rPr>
          <w:highlight w:val="none"/>
        </w:rPr>
      </w:pPr>
    </w:p>
    <w:p>
      <w:pPr>
        <w:jc w:val="left"/>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1. 评审方法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本次评审采用</w:t>
      </w:r>
      <w:r>
        <w:rPr>
          <w:rFonts w:hint="eastAsia" w:ascii="Times New Roman" w:hAnsi="Times New Roman" w:cs="Times New Roman"/>
          <w:highlight w:val="none"/>
          <w:lang w:val="en-US" w:eastAsia="zh-CN"/>
        </w:rPr>
        <w:t>技术评分最低价</w:t>
      </w:r>
      <w:r>
        <w:rPr>
          <w:rFonts w:ascii="Times New Roman" w:hAnsi="Times New Roman" w:cs="Times New Roman"/>
          <w:highlight w:val="none"/>
        </w:rPr>
        <w:t>法。</w:t>
      </w:r>
      <w:r>
        <w:rPr>
          <w:rFonts w:hint="eastAsia" w:ascii="Times New Roman" w:hAnsi="Times New Roman" w:cs="Times New Roman"/>
          <w:highlight w:val="none"/>
          <w:lang w:val="en-US" w:eastAsia="zh-CN"/>
        </w:rPr>
        <w:t>评审委员会对通过初步评审的投标人的商务及技术文件进行评分，按得分由高到低排序确定前N名。对排名前N名的投标人的报价文件进行评审，按照评标价由低到高的顺序推荐3名中标候选人。</w:t>
      </w:r>
    </w:p>
    <w:p>
      <w:pPr>
        <w:keepNext/>
        <w:keepLines/>
        <w:spacing w:beforeLines="50"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 评审标准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2.1 初步评审标准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2.1.1 形式评审标准：见评审办法前附表。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2.1.2 资格评审标准：见评审办法前附表。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2.1.3 响应性评审标准：见评审办法前附表。</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2.2 分值构成与评审标准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2.2.1分值构成：</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2</w:t>
      </w:r>
      <w:r>
        <w:rPr>
          <w:rFonts w:ascii="Times New Roman" w:hAnsi="Times New Roman" w:cs="Times New Roman"/>
          <w:highlight w:val="none"/>
        </w:rPr>
        <w:t>）</w:t>
      </w:r>
      <w:r>
        <w:rPr>
          <w:rFonts w:hint="eastAsia" w:ascii="Times New Roman" w:hAnsi="Times New Roman" w:cs="Times New Roman"/>
          <w:highlight w:val="none"/>
        </w:rPr>
        <w:t>供货方案</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rPr>
        <w:t>评审价</w:t>
      </w:r>
      <w:r>
        <w:rPr>
          <w:rFonts w:ascii="Times New Roman" w:hAnsi="Times New Roman" w:cs="Times New Roman"/>
          <w:highlight w:val="none"/>
        </w:rPr>
        <w:t>：见评审办法前附表。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2.2.2 评分标准：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（1）</w:t>
      </w:r>
      <w:r>
        <w:rPr>
          <w:rFonts w:hint="eastAsia" w:ascii="Times New Roman" w:hAnsi="Times New Roman" w:cs="Times New Roman"/>
          <w:highlight w:val="none"/>
        </w:rPr>
        <w:t>业绩</w:t>
      </w:r>
      <w:r>
        <w:rPr>
          <w:rFonts w:ascii="Times New Roman" w:hAnsi="Times New Roman" w:cs="Times New Roman"/>
          <w:highlight w:val="none"/>
        </w:rPr>
        <w:t>评分标准：见评审办法前附表；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w:t>
      </w:r>
      <w:r>
        <w:rPr>
          <w:rFonts w:hint="eastAsia" w:ascii="Times New Roman" w:hAnsi="Times New Roman" w:cs="Times New Roman"/>
          <w:highlight w:val="none"/>
        </w:rPr>
        <w:t>供货方案</w:t>
      </w:r>
      <w:r>
        <w:rPr>
          <w:rFonts w:ascii="Times New Roman" w:hAnsi="Times New Roman" w:cs="Times New Roman"/>
          <w:highlight w:val="none"/>
        </w:rPr>
        <w:t>评分标准：见评审办法前附表；</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3</w:t>
      </w:r>
      <w:r>
        <w:rPr>
          <w:rFonts w:ascii="Times New Roman" w:hAnsi="Times New Roman" w:cs="Times New Roman"/>
          <w:highlight w:val="none"/>
        </w:rPr>
        <w:t>）</w:t>
      </w:r>
      <w:r>
        <w:rPr>
          <w:rFonts w:hint="eastAsia" w:ascii="Times New Roman" w:hAnsi="Times New Roman" w:cs="Times New Roman"/>
          <w:highlight w:val="none"/>
        </w:rPr>
        <w:t>评审价</w:t>
      </w:r>
      <w:r>
        <w:rPr>
          <w:rFonts w:ascii="Times New Roman" w:hAnsi="Times New Roman" w:cs="Times New Roman"/>
          <w:highlight w:val="none"/>
        </w:rPr>
        <w:t>评分标准：见评审办法前附表。</w:t>
      </w:r>
    </w:p>
    <w:p>
      <w:pPr>
        <w:keepNext/>
        <w:keepLines/>
        <w:spacing w:beforeLines="50" w:afterLines="50"/>
        <w:outlineLvl w:val="1"/>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 评审程序</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3.1 初步评审</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3.1.1</w:t>
      </w:r>
      <w:r>
        <w:rPr>
          <w:rFonts w:hint="eastAsia" w:ascii="Times New Roman" w:hAnsi="Times New Roman" w:cs="Times New Roman"/>
          <w:highlight w:val="none"/>
        </w:rPr>
        <w:t xml:space="preserve"> 评审小组</w:t>
      </w:r>
      <w:r>
        <w:rPr>
          <w:rFonts w:ascii="Times New Roman" w:hAnsi="Times New Roman" w:cs="Times New Roman"/>
          <w:highlight w:val="none"/>
        </w:rPr>
        <w:t>依据本章第2.1.1项、第2.1.2项、第2.1.3项规定的标准对响应文件进行评审。有一项不符合评审标准的，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2 </w:t>
      </w:r>
      <w:r>
        <w:rPr>
          <w:rFonts w:ascii="Times New Roman" w:hAnsi="Times New Roman" w:cs="Times New Roman"/>
          <w:highlight w:val="none"/>
        </w:rPr>
        <w:t>响应文件中填报的报价、</w:t>
      </w:r>
      <w:r>
        <w:rPr>
          <w:rFonts w:hint="eastAsia" w:ascii="Times New Roman" w:hAnsi="Times New Roman" w:cs="Times New Roman"/>
          <w:highlight w:val="none"/>
        </w:rPr>
        <w:t>交货期</w:t>
      </w:r>
      <w:r>
        <w:rPr>
          <w:rFonts w:ascii="Times New Roman" w:hAnsi="Times New Roman" w:cs="Times New Roman"/>
          <w:highlight w:val="none"/>
        </w:rPr>
        <w:t>、质量标准前后不一致</w:t>
      </w:r>
      <w:r>
        <w:rPr>
          <w:rFonts w:hint="eastAsia" w:ascii="Times New Roman" w:hAnsi="Times New Roman" w:cs="Times New Roman"/>
          <w:highlight w:val="none"/>
        </w:rPr>
        <w:t>，且报价函中填写的内容满足询比文件要求</w:t>
      </w:r>
      <w:r>
        <w:rPr>
          <w:rFonts w:ascii="Times New Roman" w:hAnsi="Times New Roman" w:cs="Times New Roman"/>
          <w:highlight w:val="none"/>
        </w:rPr>
        <w:t>时，</w:t>
      </w:r>
      <w:r>
        <w:rPr>
          <w:rFonts w:hint="eastAsia" w:ascii="Times New Roman" w:hAnsi="Times New Roman" w:cs="Times New Roman"/>
          <w:highlight w:val="none"/>
        </w:rPr>
        <w:t>按细微偏差处理，并</w:t>
      </w:r>
      <w:r>
        <w:rPr>
          <w:rFonts w:ascii="Times New Roman" w:hAnsi="Times New Roman" w:cs="Times New Roman"/>
          <w:highlight w:val="none"/>
        </w:rPr>
        <w:t>以报价函填报的为准</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 xml:space="preserve">3.1.3 </w:t>
      </w:r>
      <w:r>
        <w:rPr>
          <w:rFonts w:ascii="Times New Roman" w:hAnsi="Times New Roman" w:cs="Times New Roman"/>
          <w:highlight w:val="none"/>
        </w:rPr>
        <w:t>报价存在</w:t>
      </w:r>
      <w:r>
        <w:rPr>
          <w:rFonts w:hint="eastAsia" w:ascii="Times New Roman" w:hAnsi="Times New Roman" w:cs="Times New Roman"/>
          <w:highlight w:val="none"/>
        </w:rPr>
        <w:t>以下</w:t>
      </w:r>
      <w:r>
        <w:rPr>
          <w:rFonts w:ascii="Times New Roman" w:hAnsi="Times New Roman" w:cs="Times New Roman"/>
          <w:highlight w:val="none"/>
        </w:rPr>
        <w:t>细微偏差的，</w:t>
      </w:r>
      <w:r>
        <w:rPr>
          <w:rFonts w:hint="eastAsia" w:ascii="Times New Roman" w:hAnsi="Times New Roman" w:cs="Times New Roman"/>
          <w:highlight w:val="none"/>
        </w:rPr>
        <w:t>评审小组</w:t>
      </w:r>
      <w:r>
        <w:rPr>
          <w:rFonts w:ascii="Times New Roman" w:hAnsi="Times New Roman" w:cs="Times New Roman"/>
          <w:highlight w:val="none"/>
        </w:rPr>
        <w:t>按以上原则对报价进行处理，并要求供应商书面澄清确认，供应商拒不澄清确认的，</w:t>
      </w:r>
      <w:r>
        <w:rPr>
          <w:rFonts w:hint="eastAsia" w:ascii="Times New Roman" w:hAnsi="Times New Roman" w:cs="Times New Roman"/>
          <w:highlight w:val="none"/>
        </w:rPr>
        <w:t>评审小组</w:t>
      </w:r>
      <w:r>
        <w:rPr>
          <w:rFonts w:ascii="Times New Roman" w:hAnsi="Times New Roman" w:cs="Times New Roman"/>
          <w:highlight w:val="none"/>
        </w:rPr>
        <w:t>应当否决其报价。</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报价有算术错误的，评审小组按以下原则对报价进行修正，修正的价格经供应商书面确认后具有约束力。供应商不接受修正价格的，评审小组应否决其报价。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①响应文件中的大写金额与小写金额不一致的，以大写金额为准；</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②总价金额与依据单价计算出的结果不一致的，以单价金额为准修正总价，但单价金额小数点有明显错误的除外；</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③当单价与数量相乘不等于合价时，以单价计算为准，如果单价有明显的小数点位置差错，应以标出的合价为准，同时对单价予以修正；</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（2）报价</w:t>
      </w:r>
      <w:r>
        <w:rPr>
          <w:rFonts w:ascii="Times New Roman" w:hAnsi="Times New Roman" w:cs="Times New Roman"/>
          <w:highlight w:val="none"/>
        </w:rPr>
        <w:t>清单中的报价有其他错误的，评审小组按以下原则对报价进行修正，修正的价格经供应商书面确认后具有约束力。供应商不接受修正价格的，评审小组应否决其报价。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①在采购人给定的清单中漏报了某个子目的单价、合价或总额价，或所报单价、合价或总额价减少了报价范围，则漏报的子目单价、合价和总额价或单价、合价和总额价中减少的报价内容视为已含入其他子目的单价、合价和总额价之中。</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②在采购人给定的清单中多报了某个子目的单价、合价或总额价，或所报单价、合价或总额价增加了报价范围，则从报价中扣除多报的子目报价或子目报价中增加了报价范围的部分报价。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③当单价与数量的乘积与合价（金额）虽然一致，但供应商修改了该子目的数量，则其合价按采购人给定的数量乘以供应商所报单价予以修正。</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④当各子目的合价累计不等于总价时，应以各子目合价累计数为准，修正总价。</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3.1.</w:t>
      </w:r>
      <w:r>
        <w:rPr>
          <w:rFonts w:hint="eastAsia" w:ascii="Times New Roman" w:hAnsi="Times New Roman" w:cs="Times New Roman"/>
          <w:highlight w:val="none"/>
        </w:rPr>
        <w:t xml:space="preserve">4 </w:t>
      </w:r>
      <w:r>
        <w:rPr>
          <w:rFonts w:ascii="Times New Roman" w:hAnsi="Times New Roman" w:cs="Times New Roman"/>
          <w:highlight w:val="none"/>
        </w:rPr>
        <w:t>修正后的最终报价若超过最高限价（如有），</w:t>
      </w:r>
      <w:r>
        <w:rPr>
          <w:rFonts w:hint="eastAsia" w:ascii="Times New Roman" w:hAnsi="Times New Roman" w:cs="Times New Roman"/>
          <w:highlight w:val="none"/>
        </w:rPr>
        <w:t>评审小组</w:t>
      </w:r>
      <w:r>
        <w:rPr>
          <w:rFonts w:ascii="Times New Roman" w:hAnsi="Times New Roman" w:cs="Times New Roman"/>
          <w:highlight w:val="none"/>
        </w:rPr>
        <w:t>应否决其报价。</w:t>
      </w:r>
    </w:p>
    <w:p>
      <w:pPr>
        <w:spacing w:line="440" w:lineRule="exact"/>
        <w:ind w:firstLine="420"/>
        <w:rPr>
          <w:highlight w:val="none"/>
        </w:rPr>
      </w:pPr>
      <w:r>
        <w:rPr>
          <w:rFonts w:ascii="Times New Roman" w:hAnsi="Times New Roman" w:cs="Times New Roman"/>
          <w:highlight w:val="none"/>
        </w:rPr>
        <w:t>3.1.</w:t>
      </w:r>
      <w:r>
        <w:rPr>
          <w:rFonts w:hint="eastAsia" w:ascii="Times New Roman" w:hAnsi="Times New Roman" w:cs="Times New Roman"/>
          <w:highlight w:val="none"/>
        </w:rPr>
        <w:t>5</w:t>
      </w:r>
      <w:r>
        <w:rPr>
          <w:rFonts w:ascii="Times New Roman" w:hAnsi="Times New Roman" w:cs="Times New Roman"/>
          <w:highlight w:val="none"/>
        </w:rPr>
        <w:t xml:space="preserve"> </w:t>
      </w:r>
      <w:r>
        <w:rPr>
          <w:rFonts w:hint="eastAsia" w:ascii="Times New Roman" w:hAnsi="Times New Roman" w:cs="Times New Roman"/>
          <w:szCs w:val="21"/>
          <w:highlight w:val="none"/>
        </w:rPr>
        <w:t>修正后的</w:t>
      </w:r>
      <w:r>
        <w:rPr>
          <w:rFonts w:ascii="Times New Roman" w:hAnsi="Times New Roman" w:cs="Times New Roman"/>
          <w:highlight w:val="none"/>
        </w:rPr>
        <w:t>最终报价参与评审价得分的计算</w:t>
      </w:r>
      <w:r>
        <w:rPr>
          <w:rFonts w:hint="eastAsia" w:ascii="Times New Roman" w:hAnsi="Times New Roman" w:cs="Times New Roman"/>
          <w:highlight w:val="none"/>
        </w:rPr>
        <w:t>，并作为签订合同的依据</w:t>
      </w:r>
      <w:r>
        <w:rPr>
          <w:rFonts w:ascii="Times New Roman" w:hAnsi="Times New Roman" w:cs="Times New Roman"/>
          <w:highlight w:val="none"/>
        </w:rPr>
        <w:t>。</w:t>
      </w:r>
    </w:p>
    <w:p>
      <w:pPr>
        <w:keepNext/>
        <w:keepLines/>
        <w:spacing w:before="120" w:after="120"/>
        <w:outlineLvl w:val="2"/>
        <w:rPr>
          <w:rFonts w:ascii="Times New Roman" w:hAnsi="Times New Roman" w:cs="Times New Roman"/>
          <w:highlight w:val="none"/>
        </w:rPr>
      </w:pPr>
      <w:r>
        <w:rPr>
          <w:rFonts w:ascii="Times New Roman" w:hAnsi="Times New Roman" w:eastAsia="黑体" w:cs="Times New Roman"/>
          <w:bCs/>
          <w:sz w:val="24"/>
          <w:szCs w:val="32"/>
          <w:highlight w:val="none"/>
        </w:rPr>
        <w:t>3.2 详细评审</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 xml:space="preserve">3.2.1 </w:t>
      </w:r>
      <w:r>
        <w:rPr>
          <w:rFonts w:hint="eastAsia" w:ascii="Times New Roman" w:hAnsi="Times New Roman" w:cs="Times New Roman"/>
          <w:highlight w:val="none"/>
        </w:rPr>
        <w:t>评审小组</w:t>
      </w:r>
      <w:r>
        <w:rPr>
          <w:rFonts w:ascii="Times New Roman" w:hAnsi="Times New Roman" w:cs="Times New Roman"/>
          <w:highlight w:val="none"/>
        </w:rPr>
        <w:t>按本章第2.2款规定的量化因素和分值进行打分，并计算出</w:t>
      </w:r>
      <w:r>
        <w:rPr>
          <w:rFonts w:hint="eastAsia" w:ascii="Times New Roman" w:hAnsi="Times New Roman" w:cs="Times New Roman"/>
          <w:highlight w:val="none"/>
          <w:lang w:val="en-US" w:eastAsia="zh-CN"/>
        </w:rPr>
        <w:t>供</w:t>
      </w:r>
      <w:r>
        <w:rPr>
          <w:rFonts w:ascii="Times New Roman" w:hAnsi="Times New Roman" w:cs="Times New Roman"/>
          <w:highlight w:val="none"/>
        </w:rPr>
        <w:t>应商</w:t>
      </w:r>
      <w:r>
        <w:rPr>
          <w:rFonts w:hint="eastAsia" w:ascii="Times New Roman" w:hAnsi="Times New Roman" w:cs="Times New Roman"/>
          <w:highlight w:val="none"/>
          <w:lang w:val="en-US" w:eastAsia="zh-CN"/>
        </w:rPr>
        <w:t>的商务及技术文件</w:t>
      </w:r>
      <w:r>
        <w:rPr>
          <w:rFonts w:ascii="Times New Roman" w:hAnsi="Times New Roman" w:cs="Times New Roman"/>
          <w:highlight w:val="none"/>
        </w:rPr>
        <w:t>得分。</w:t>
      </w:r>
    </w:p>
    <w:p>
      <w:pPr>
        <w:spacing w:line="400" w:lineRule="exact"/>
        <w:ind w:firstLine="420" w:firstLineChars="200"/>
        <w:rPr>
          <w:rFonts w:ascii="Times New Roman" w:hAnsi="Times New Roman" w:cs="Times New Roman"/>
          <w:highlight w:val="none"/>
        </w:rPr>
      </w:pPr>
      <w:r>
        <w:rPr>
          <w:rFonts w:ascii="Times New Roman" w:hAnsi="Times New Roman" w:cs="Times New Roman"/>
          <w:highlight w:val="none"/>
        </w:rPr>
        <w:t>3.2.2 评分分值计算保留小数点后两位，小数点后第三位“四舍五入”。</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 xml:space="preserve">3.3 </w:t>
      </w:r>
      <w:r>
        <w:rPr>
          <w:rFonts w:hint="eastAsia" w:ascii="Times New Roman" w:hAnsi="Times New Roman" w:eastAsia="黑体" w:cs="Times New Roman"/>
          <w:bCs/>
          <w:sz w:val="24"/>
          <w:szCs w:val="32"/>
          <w:highlight w:val="none"/>
        </w:rPr>
        <w:t>否决响应文件</w:t>
      </w:r>
      <w:r>
        <w:rPr>
          <w:rFonts w:ascii="Times New Roman" w:hAnsi="Times New Roman" w:eastAsia="黑体" w:cs="Times New Roman"/>
          <w:bCs/>
          <w:sz w:val="24"/>
          <w:szCs w:val="32"/>
          <w:highlight w:val="none"/>
        </w:rPr>
        <w:t>的其他情形</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应对在评审过程中发现供应商存在串通报价、弄虚作假、行贿等违法行为的，</w:t>
      </w:r>
      <w:r>
        <w:rPr>
          <w:rFonts w:hint="eastAsia" w:ascii="Times New Roman" w:hAnsi="Times New Roman" w:cs="Times New Roman"/>
          <w:highlight w:val="none"/>
        </w:rPr>
        <w:t>评审小组</w:t>
      </w:r>
      <w:r>
        <w:rPr>
          <w:rFonts w:ascii="Times New Roman" w:hAnsi="Times New Roman" w:cs="Times New Roman"/>
          <w:highlight w:val="none"/>
        </w:rPr>
        <w:t>应否决其</w:t>
      </w:r>
      <w:r>
        <w:rPr>
          <w:rFonts w:hint="eastAsia" w:ascii="Times New Roman" w:hAnsi="Times New Roman" w:cs="Times New Roman"/>
          <w:highlight w:val="none"/>
        </w:rPr>
        <w:t>响应文件</w:t>
      </w:r>
      <w:r>
        <w:rPr>
          <w:rFonts w:ascii="Times New Roman" w:hAnsi="Times New Roman" w:cs="Times New Roman"/>
          <w:highlight w:val="none"/>
        </w:rPr>
        <w:t>。</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3.4 响应文件的澄清</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3.4.1 在评审过程中，</w:t>
      </w:r>
      <w:r>
        <w:rPr>
          <w:rFonts w:hint="eastAsia" w:ascii="Times New Roman" w:hAnsi="Times New Roman" w:cs="Times New Roman"/>
          <w:highlight w:val="none"/>
        </w:rPr>
        <w:t>评审小组</w:t>
      </w:r>
      <w:r>
        <w:rPr>
          <w:rFonts w:ascii="Times New Roman" w:hAnsi="Times New Roman" w:cs="Times New Roman"/>
          <w:highlight w:val="none"/>
        </w:rPr>
        <w:t>可以书面形式要求供应商对响应文件中含义不明确、对同类问题表述不一致或者有明显文字</w:t>
      </w:r>
      <w:r>
        <w:rPr>
          <w:rFonts w:hint="eastAsia" w:ascii="Times New Roman" w:hAnsi="Times New Roman" w:cs="Times New Roman"/>
          <w:highlight w:val="none"/>
        </w:rPr>
        <w:t>错误</w:t>
      </w:r>
      <w:r>
        <w:rPr>
          <w:rFonts w:ascii="Times New Roman" w:hAnsi="Times New Roman" w:cs="Times New Roman"/>
          <w:highlight w:val="none"/>
        </w:rPr>
        <w:t>的内容做必要的澄清。</w:t>
      </w:r>
      <w:r>
        <w:rPr>
          <w:rFonts w:hint="eastAsia" w:ascii="Times New Roman" w:hAnsi="Times New Roman" w:cs="Times New Roman"/>
          <w:highlight w:val="none"/>
        </w:rPr>
        <w:t>评审小组</w:t>
      </w:r>
      <w:r>
        <w:rPr>
          <w:rFonts w:ascii="Times New Roman" w:hAnsi="Times New Roman" w:cs="Times New Roman"/>
          <w:highlight w:val="none"/>
        </w:rPr>
        <w:t>不接受供应商主动提出的澄清。</w:t>
      </w:r>
    </w:p>
    <w:p>
      <w:pPr>
        <w:spacing w:line="440" w:lineRule="exact"/>
        <w:ind w:firstLine="420"/>
        <w:rPr>
          <w:rFonts w:ascii="Times New Roman" w:hAnsi="Times New Roman" w:cs="Times New Roman"/>
          <w:strike/>
          <w:highlight w:val="none"/>
        </w:rPr>
      </w:pPr>
      <w:r>
        <w:rPr>
          <w:rFonts w:ascii="Times New Roman" w:hAnsi="Times New Roman" w:cs="Times New Roman"/>
          <w:highlight w:val="none"/>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highlight w:val="none"/>
        </w:rPr>
      </w:pPr>
      <w:r>
        <w:rPr>
          <w:rFonts w:ascii="Times New Roman" w:hAnsi="Times New Roman" w:eastAsia="黑体" w:cs="Times New Roman"/>
          <w:bCs/>
          <w:sz w:val="24"/>
          <w:szCs w:val="32"/>
          <w:highlight w:val="none"/>
        </w:rPr>
        <w:t>3.</w:t>
      </w:r>
      <w:r>
        <w:rPr>
          <w:rFonts w:hint="eastAsia" w:ascii="Times New Roman" w:hAnsi="Times New Roman" w:eastAsia="黑体" w:cs="Times New Roman"/>
          <w:bCs/>
          <w:sz w:val="24"/>
          <w:szCs w:val="32"/>
          <w:highlight w:val="none"/>
        </w:rPr>
        <w:t>5</w:t>
      </w:r>
      <w:r>
        <w:rPr>
          <w:rFonts w:ascii="Times New Roman" w:hAnsi="Times New Roman" w:eastAsia="黑体" w:cs="Times New Roman"/>
          <w:bCs/>
          <w:sz w:val="24"/>
          <w:szCs w:val="32"/>
          <w:highlight w:val="none"/>
        </w:rPr>
        <w:t xml:space="preserve"> 评审结果</w:t>
      </w:r>
    </w:p>
    <w:p>
      <w:pPr>
        <w:spacing w:line="440" w:lineRule="exact"/>
        <w:ind w:firstLine="420"/>
        <w:rPr>
          <w:rFonts w:ascii="Times New Roman" w:hAnsi="Times New Roman" w:cs="Times New Roman"/>
          <w:highlight w:val="none"/>
        </w:rPr>
      </w:pPr>
      <w:r>
        <w:rPr>
          <w:rFonts w:hint="eastAsia" w:ascii="Times New Roman" w:hAnsi="Times New Roman" w:cs="Times New Roman"/>
          <w:highlight w:val="none"/>
        </w:rPr>
        <w:t>评审小组</w:t>
      </w:r>
      <w:r>
        <w:rPr>
          <w:rFonts w:ascii="Times New Roman" w:hAnsi="Times New Roman" w:cs="Times New Roman"/>
          <w:highlight w:val="none"/>
        </w:rPr>
        <w:t>完成评审后，应当向采购人提交评审报告。评审报告应当如实记载以下内容：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（一）采购项目基本情况</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（二）采购过程回顾</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（三）评审小组成员名单</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（四）询比评审工作</w:t>
      </w:r>
    </w:p>
    <w:p>
      <w:pPr>
        <w:spacing w:line="440" w:lineRule="exact"/>
        <w:ind w:firstLine="420"/>
        <w:rPr>
          <w:rFonts w:hint="eastAsia" w:ascii="Times New Roman" w:hAnsi="Times New Roman" w:cs="Times New Roman" w:eastAsiaTheme="minorEastAsia"/>
          <w:highlight w:val="none"/>
          <w:lang w:eastAsia="zh-CN"/>
        </w:rPr>
      </w:pPr>
      <w:r>
        <w:rPr>
          <w:rFonts w:hint="default" w:ascii="Times New Roman" w:hAnsi="Times New Roman" w:cs="Times New Roman"/>
          <w:highlight w:val="none"/>
        </w:rPr>
        <w:t>1、</w:t>
      </w:r>
      <w:r>
        <w:rPr>
          <w:rFonts w:ascii="Times New Roman" w:hAnsi="Times New Roman" w:cs="Times New Roman"/>
          <w:highlight w:val="none"/>
        </w:rPr>
        <w:t>评审办法</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技术评分最低价法</w:t>
      </w:r>
      <w:r>
        <w:rPr>
          <w:rFonts w:hint="eastAsia" w:ascii="Times New Roman" w:hAnsi="Times New Roman" w:cs="Times New Roman"/>
          <w:highlight w:val="none"/>
          <w:lang w:eastAsia="zh-CN"/>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2、初步评审情况（资格审查、形式性审查、响应性审查）</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3、</w:t>
      </w:r>
      <w:r>
        <w:rPr>
          <w:rFonts w:hint="eastAsia" w:ascii="Times New Roman" w:hAnsi="Times New Roman" w:cs="Times New Roman"/>
          <w:highlight w:val="none"/>
        </w:rPr>
        <w:t>详细评审情况（</w:t>
      </w:r>
      <w:r>
        <w:rPr>
          <w:rFonts w:ascii="Times New Roman" w:hAnsi="Times New Roman" w:cs="Times New Roman"/>
          <w:highlight w:val="none"/>
        </w:rPr>
        <w:t>供应商的</w:t>
      </w:r>
      <w:r>
        <w:rPr>
          <w:rFonts w:hint="eastAsia" w:ascii="Times New Roman" w:hAnsi="Times New Roman" w:cs="Times New Roman"/>
          <w:highlight w:val="none"/>
          <w:lang w:val="en-US" w:eastAsia="zh-CN"/>
        </w:rPr>
        <w:t>技术</w:t>
      </w:r>
      <w:r>
        <w:rPr>
          <w:rFonts w:ascii="Times New Roman" w:hAnsi="Times New Roman" w:cs="Times New Roman"/>
          <w:highlight w:val="none"/>
        </w:rPr>
        <w:t>评分情况</w:t>
      </w:r>
      <w:r>
        <w:rPr>
          <w:rFonts w:hint="eastAsia" w:ascii="Times New Roman" w:hAnsi="Times New Roman" w:cs="Times New Roman"/>
          <w:highlight w:val="none"/>
        </w:rPr>
        <w:t>）</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4、否决的供应商名单以及否决理由（如有）</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5、</w:t>
      </w:r>
      <w:r>
        <w:rPr>
          <w:rFonts w:ascii="Times New Roman" w:hAnsi="Times New Roman" w:cs="Times New Roman"/>
          <w:highlight w:val="none"/>
        </w:rPr>
        <w:t>推荐候选供应商排序</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（五）需要说明的其他事项</w:t>
      </w:r>
    </w:p>
    <w:p>
      <w:pPr>
        <w:spacing w:line="440" w:lineRule="exact"/>
        <w:ind w:firstLine="420"/>
        <w:rPr>
          <w:rFonts w:ascii="Times New Roman" w:hAnsi="Times New Roman" w:cs="Times New Roman"/>
          <w:highlight w:val="none"/>
        </w:rPr>
      </w:pPr>
      <w:r>
        <w:rPr>
          <w:rFonts w:ascii="Times New Roman" w:hAnsi="Times New Roman" w:cs="Times New Roman"/>
          <w:highlight w:val="none"/>
        </w:rPr>
        <w:t>（六）评审附表</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1、</w:t>
      </w:r>
      <w:r>
        <w:rPr>
          <w:rFonts w:ascii="Times New Roman" w:hAnsi="Times New Roman" w:cs="Times New Roman"/>
          <w:highlight w:val="none"/>
        </w:rPr>
        <w:t>响应文件开启记录表</w:t>
      </w:r>
    </w:p>
    <w:p>
      <w:pPr>
        <w:spacing w:line="440" w:lineRule="exact"/>
        <w:ind w:firstLine="420"/>
        <w:rPr>
          <w:rFonts w:ascii="Times New Roman" w:hAnsi="Times New Roman" w:cs="Times New Roman"/>
          <w:highlight w:val="none"/>
        </w:rPr>
      </w:pPr>
      <w:r>
        <w:rPr>
          <w:rFonts w:hint="default" w:ascii="Times New Roman" w:hAnsi="Times New Roman" w:cs="Times New Roman"/>
          <w:highlight w:val="none"/>
        </w:rPr>
        <w:t>2、</w:t>
      </w:r>
      <w:r>
        <w:rPr>
          <w:rFonts w:ascii="Times New Roman" w:hAnsi="Times New Roman" w:cs="Times New Roman"/>
          <w:highlight w:val="none"/>
        </w:rPr>
        <w:t>评审表格</w:t>
      </w:r>
    </w:p>
    <w:p>
      <w:pPr>
        <w:spacing w:line="440" w:lineRule="exact"/>
        <w:ind w:firstLine="420"/>
        <w:rPr>
          <w:rFonts w:hint="default" w:ascii="Times New Roman" w:hAnsi="Times New Roman" w:cs="Times New Roman"/>
          <w:color w:val="auto"/>
          <w:highlight w:val="none"/>
          <w:lang w:val="en-US" w:eastAsia="zh-CN"/>
        </w:rPr>
      </w:pPr>
    </w:p>
    <w:p>
      <w:pPr>
        <w:pStyle w:val="2"/>
        <w:rPr>
          <w:rFonts w:hint="default"/>
          <w:highlight w:val="none"/>
        </w:rPr>
      </w:pPr>
    </w:p>
    <w:p>
      <w:pPr>
        <w:rPr>
          <w:rFonts w:hint="default"/>
          <w:highlight w:val="none"/>
        </w:rPr>
      </w:pPr>
    </w:p>
    <w:p>
      <w:pPr>
        <w:pStyle w:val="2"/>
        <w:rPr>
          <w:rFonts w:hint="default"/>
          <w:highlight w:val="none"/>
        </w:rPr>
      </w:pPr>
    </w:p>
    <w:p>
      <w:pPr>
        <w:pStyle w:val="2"/>
        <w:rPr>
          <w:rFonts w:ascii="Times New Roman" w:hAnsi="Times New Roman"/>
          <w:highlight w:val="none"/>
        </w:rPr>
      </w:pPr>
    </w:p>
    <w:p>
      <w:pPr>
        <w:widowControl/>
        <w:jc w:val="left"/>
        <w:rPr>
          <w:rFonts w:ascii="Times New Roman" w:hAnsi="Times New Roman" w:eastAsia="宋体" w:cs="Times New Roman"/>
          <w:highlight w:val="none"/>
        </w:rPr>
      </w:pPr>
    </w:p>
    <w:p>
      <w:pPr>
        <w:pStyle w:val="20"/>
        <w:rPr>
          <w:rFonts w:ascii="Times New Roman" w:hAnsi="Times New Roman" w:eastAsia="宋体" w:cs="Times New Roman"/>
          <w:highlight w:val="none"/>
        </w:rPr>
      </w:pPr>
    </w:p>
    <w:p>
      <w:pPr>
        <w:pStyle w:val="20"/>
        <w:rPr>
          <w:rFonts w:ascii="Times New Roman" w:hAnsi="Times New Roman" w:eastAsia="宋体" w:cs="Times New Roman"/>
          <w:highlight w:val="none"/>
        </w:rPr>
      </w:pPr>
    </w:p>
    <w:p>
      <w:pPr>
        <w:pStyle w:val="20"/>
        <w:rPr>
          <w:rFonts w:ascii="Times New Roman" w:hAnsi="Times New Roman" w:eastAsia="宋体" w:cs="Times New Roman"/>
          <w:highlight w:val="none"/>
        </w:rPr>
      </w:pPr>
    </w:p>
    <w:p>
      <w:pPr>
        <w:rPr>
          <w:rFonts w:ascii="Times New Roman" w:hAnsi="Times New Roman" w:eastAsia="宋体" w:cs="Times New Roman"/>
          <w:highlight w:val="none"/>
        </w:rPr>
      </w:pPr>
    </w:p>
    <w:p>
      <w:pPr>
        <w:spacing w:line="408" w:lineRule="auto"/>
        <w:ind w:firstLine="420" w:firstLineChars="200"/>
        <w:rPr>
          <w:rFonts w:hint="eastAsia" w:ascii="宋体" w:hAnsi="宋体" w:cs="宋体"/>
          <w:szCs w:val="21"/>
          <w:highlight w:val="none"/>
        </w:rPr>
      </w:pPr>
      <w:r>
        <w:rPr>
          <w:rFonts w:hint="eastAsia" w:ascii="宋体" w:hAnsi="宋体" w:cs="宋体"/>
          <w:szCs w:val="21"/>
          <w:highlight w:val="none"/>
        </w:rPr>
        <w:br w:type="page"/>
      </w:r>
    </w:p>
    <w:p>
      <w:pPr>
        <w:pStyle w:val="5"/>
        <w:numPr>
          <w:ilvl w:val="0"/>
          <w:numId w:val="0"/>
        </w:numPr>
        <w:spacing w:before="312" w:after="312"/>
        <w:ind w:leftChars="0"/>
        <w:jc w:val="center"/>
        <w:rPr>
          <w:rFonts w:ascii="Times New Roman" w:hAnsi="Times New Roman" w:eastAsia="宋体" w:cs="Times New Roman"/>
          <w:highlight w:val="none"/>
        </w:rPr>
      </w:pPr>
      <w:bookmarkStart w:id="61" w:name="_Toc32763"/>
      <w:r>
        <w:rPr>
          <w:rFonts w:hint="eastAsia" w:ascii="Times New Roman" w:hAnsi="Times New Roman" w:eastAsia="宋体" w:cs="Times New Roman"/>
          <w:highlight w:val="none"/>
          <w:lang w:val="en-US" w:eastAsia="zh-CN"/>
        </w:rPr>
        <w:t xml:space="preserve">第四章 </w:t>
      </w:r>
      <w:r>
        <w:rPr>
          <w:rFonts w:ascii="Times New Roman" w:hAnsi="Times New Roman" w:eastAsia="宋体" w:cs="Times New Roman"/>
          <w:highlight w:val="none"/>
        </w:rPr>
        <w:t>合同内容</w:t>
      </w:r>
      <w:bookmarkEnd w:id="61"/>
    </w:p>
    <w:p>
      <w:pPr>
        <w:rPr>
          <w:highlight w:val="none"/>
        </w:rPr>
      </w:pPr>
    </w:p>
    <w:p>
      <w:pPr>
        <w:pStyle w:val="5"/>
        <w:numPr>
          <w:ilvl w:val="255"/>
          <w:numId w:val="0"/>
        </w:numPr>
        <w:spacing w:before="312" w:after="312"/>
        <w:ind w:left="402"/>
        <w:outlineLvl w:val="9"/>
        <w:rPr>
          <w:rFonts w:hint="eastAsia" w:ascii="Times New Roman" w:hAnsi="Times New Roman" w:eastAsia="宋体" w:cs="Times New Roman"/>
          <w:highlight w:val="none"/>
        </w:rPr>
      </w:pPr>
    </w:p>
    <w:p>
      <w:pPr>
        <w:rPr>
          <w:rFonts w:hint="eastAsia" w:ascii="Times New Roman" w:hAnsi="Times New Roman" w:eastAsia="宋体" w:cs="Times New Roman"/>
          <w:highlight w:val="none"/>
        </w:rPr>
      </w:pPr>
    </w:p>
    <w:p>
      <w:pPr>
        <w:pStyle w:val="2"/>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pStyle w:val="27"/>
        <w:rPr>
          <w:rFonts w:hint="eastAsia" w:ascii="Times New Roman" w:hAnsi="Times New Roman" w:eastAsia="宋体" w:cs="Times New Roman"/>
          <w:highlight w:val="none"/>
        </w:rPr>
      </w:pPr>
    </w:p>
    <w:p>
      <w:pPr>
        <w:keepNext w:val="0"/>
        <w:keepLines w:val="0"/>
        <w:pageBreakBefore w:val="0"/>
        <w:kinsoku/>
        <w:overflowPunct/>
        <w:autoSpaceDE/>
        <w:autoSpaceDN/>
        <w:bidi w:val="0"/>
        <w:adjustRightInd/>
        <w:snapToGrid/>
        <w:spacing w:line="560" w:lineRule="exact"/>
        <w:ind w:firstLine="880" w:firstLineChars="200"/>
        <w:jc w:val="both"/>
        <w:rPr>
          <w:rFonts w:hint="eastAsia" w:ascii="宋体" w:hAnsi="宋体" w:eastAsia="宋体" w:cs="宋体"/>
          <w:bCs/>
          <w:color w:val="auto"/>
          <w:sz w:val="44"/>
          <w:szCs w:val="44"/>
          <w:highlight w:val="none"/>
          <w:lang w:eastAsia="zh-CN"/>
        </w:rPr>
      </w:pPr>
      <w:bookmarkStart w:id="62" w:name="_Toc18078_WPSOffice_Level2"/>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u w:val="none"/>
          <w:lang w:val="en-US" w:eastAsia="zh-CN"/>
        </w:rPr>
        <w:t>项目</w:t>
      </w:r>
      <w:r>
        <w:rPr>
          <w:rFonts w:hint="eastAsia" w:ascii="方正小标宋简体" w:hAnsi="方正小标宋简体" w:eastAsia="方正小标宋简体" w:cs="方正小标宋简体"/>
          <w:bCs/>
          <w:color w:val="auto"/>
          <w:sz w:val="44"/>
          <w:szCs w:val="44"/>
          <w:highlight w:val="none"/>
          <w:u w:val="single"/>
          <w:lang w:val="en-US" w:eastAsia="zh-CN"/>
        </w:rPr>
        <w:t xml:space="preserve">     </w:t>
      </w:r>
      <w:r>
        <w:rPr>
          <w:rFonts w:hint="eastAsia" w:ascii="方正小标宋简体" w:hAnsi="方正小标宋简体" w:eastAsia="方正小标宋简体" w:cs="方正小标宋简体"/>
          <w:bCs/>
          <w:color w:val="auto"/>
          <w:sz w:val="44"/>
          <w:szCs w:val="44"/>
          <w:highlight w:val="none"/>
          <w:lang w:val="en-US" w:eastAsia="zh-CN"/>
        </w:rPr>
        <w:t>采购及安装</w:t>
      </w:r>
      <w:r>
        <w:rPr>
          <w:rFonts w:hint="eastAsia" w:ascii="方正小标宋简体" w:hAnsi="方正小标宋简体" w:eastAsia="方正小标宋简体" w:cs="方正小标宋简体"/>
          <w:bCs/>
          <w:color w:val="auto"/>
          <w:sz w:val="44"/>
          <w:szCs w:val="44"/>
          <w:highlight w:val="none"/>
          <w:lang w:eastAsia="zh-CN"/>
        </w:rPr>
        <w:t>合同</w:t>
      </w:r>
    </w:p>
    <w:p>
      <w:pPr>
        <w:keepNext w:val="0"/>
        <w:keepLines w:val="0"/>
        <w:pageBreakBefore w:val="0"/>
        <w:kinsoku/>
        <w:overflowPunct/>
        <w:autoSpaceDE/>
        <w:autoSpaceDN/>
        <w:bidi w:val="0"/>
        <w:adjustRightInd/>
        <w:snapToGrid/>
        <w:spacing w:line="560" w:lineRule="exact"/>
        <w:ind w:left="5880" w:firstLine="560"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采购方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eastAsia="zh-CN"/>
        </w:rPr>
        <w:t>安徽省经工物资有限公司</w:t>
      </w:r>
      <w:r>
        <w:rPr>
          <w:rFonts w:hint="eastAsia" w:ascii="仿宋_GB2312" w:hAnsi="仿宋_GB2312" w:eastAsia="仿宋_GB2312" w:cs="仿宋_GB2312"/>
          <w:color w:val="auto"/>
          <w:sz w:val="28"/>
          <w:szCs w:val="28"/>
          <w:highlight w:val="none"/>
        </w:rPr>
        <w:t>（以下简称甲方）</w:t>
      </w:r>
    </w:p>
    <w:p>
      <w:pPr>
        <w:keepNext w:val="0"/>
        <w:keepLines w:val="0"/>
        <w:pageBreakBefore w:val="0"/>
        <w:widowControl w:val="0"/>
        <w:tabs>
          <w:tab w:val="left" w:pos="5370"/>
        </w:tabs>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 xml:space="preserve">（以下简称乙方）  </w:t>
      </w:r>
    </w:p>
    <w:p>
      <w:pPr>
        <w:keepNext w:val="0"/>
        <w:keepLines w:val="0"/>
        <w:pageBreakBefore w:val="0"/>
        <w:widowControl/>
        <w:suppressLineNumbers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rPr>
      </w:pPr>
      <w:r>
        <w:rPr>
          <w:rFonts w:hint="eastAsia" w:ascii="仿宋_GB2312" w:hAnsi="仿宋_GB2312" w:eastAsia="仿宋_GB2312" w:cs="仿宋_GB2312"/>
          <w:color w:val="auto"/>
          <w:sz w:val="28"/>
          <w:szCs w:val="28"/>
          <w:highlight w:val="none"/>
        </w:rPr>
        <w:t>依据《</w:t>
      </w:r>
      <w:r>
        <w:rPr>
          <w:rFonts w:hint="eastAsia" w:ascii="仿宋_GB2312" w:hAnsi="仿宋_GB2312" w:eastAsia="仿宋_GB2312" w:cs="仿宋_GB2312"/>
          <w:color w:val="auto"/>
          <w:sz w:val="28"/>
          <w:szCs w:val="28"/>
          <w:highlight w:val="none"/>
          <w:lang w:eastAsia="zh-CN"/>
        </w:rPr>
        <w:t>中华人民共和国民法典</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及有关</w:t>
      </w:r>
      <w:r>
        <w:rPr>
          <w:rFonts w:hint="eastAsia" w:ascii="仿宋_GB2312" w:hAnsi="仿宋_GB2312" w:eastAsia="仿宋_GB2312" w:cs="仿宋_GB2312"/>
          <w:color w:val="auto"/>
          <w:sz w:val="28"/>
          <w:szCs w:val="28"/>
          <w:highlight w:val="none"/>
        </w:rPr>
        <w:t>规定，</w:t>
      </w:r>
      <w:r>
        <w:rPr>
          <w:rFonts w:hint="eastAsia" w:ascii="仿宋_GB2312" w:hAnsi="仿宋_GB2312" w:eastAsia="仿宋_GB2312" w:cs="仿宋_GB2312"/>
          <w:color w:val="auto"/>
          <w:sz w:val="28"/>
          <w:szCs w:val="28"/>
          <w:highlight w:val="none"/>
          <w:lang w:val="en-US" w:eastAsia="zh-CN"/>
        </w:rPr>
        <w:t>甲、乙双方经过友好协商，现就甲方向乙方购买</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用于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项目有关事宜，达成如下一致条款</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以资双方共同遵照执行</w:t>
      </w:r>
      <w:r>
        <w:rPr>
          <w:rFonts w:hint="eastAsia" w:ascii="仿宋_GB2312" w:hAnsi="仿宋_GB2312" w:eastAsia="仿宋_GB2312" w:cs="仿宋_GB2312"/>
          <w:color w:val="auto"/>
          <w:sz w:val="28"/>
          <w:szCs w:val="28"/>
          <w:highlight w:val="none"/>
          <w:u w:val="none"/>
        </w:rPr>
        <w:t>：</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第一条  合同价款</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1.本合同总价人民币大写：</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具体报价清单见附件，产品为固定综合单价，已经包含税费、材料费（含辅材）、运输费、装卸费、人员成本、安装调试、各项实验检验费、验收费以及与货物有关的特殊要求等可能产生的所有成本和费用。在合同执行期内，材料单价不因市场波动、政策调整、人工涨跌等原因做任何形式的调整。本合同所列工程量为暂估数量，最终以签收数量（乙方无条件补货与退货，并承担相应的运输、装卸货等费用）和固定综合单价进行结算。</w:t>
      </w:r>
    </w:p>
    <w:p>
      <w:pPr>
        <w:keepNext w:val="0"/>
        <w:keepLines w:val="0"/>
        <w:pageBreakBefore w:val="0"/>
        <w:kinsoku/>
        <w:overflowPunct/>
        <w:autoSpaceDE/>
        <w:autoSpaceDN/>
        <w:bidi w:val="0"/>
        <w:adjustRightInd/>
        <w:snapToGrid/>
        <w:spacing w:line="560" w:lineRule="exact"/>
        <w:ind w:firstLine="560" w:firstLineChars="200"/>
        <w:jc w:val="both"/>
        <w:rPr>
          <w:rFonts w:ascii="宋体" w:hAnsi="宋体" w:cs="宋体"/>
          <w:b/>
          <w:bCs/>
          <w:color w:val="auto"/>
          <w:sz w:val="22"/>
          <w:szCs w:val="22"/>
          <w:highlight w:val="none"/>
        </w:rPr>
      </w:pPr>
      <w:r>
        <w:rPr>
          <w:rFonts w:hint="eastAsia" w:ascii="黑体" w:hAnsi="黑体" w:eastAsia="黑体" w:cs="黑体"/>
          <w:b w:val="0"/>
          <w:bCs/>
          <w:color w:val="auto"/>
          <w:sz w:val="28"/>
          <w:szCs w:val="28"/>
          <w:highlight w:val="none"/>
        </w:rPr>
        <w:t>第二条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交货方式、时间及地点</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1.交货方式：乙方负责运送至甲方指定地点并安装结束。</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2.交货地点：甲方指定地点，乙方负责运送至甲方指定现场，并按甲方指定地点卸货，货物在安装验收合格并交付给甲方前的毁损、灭失，损失由乙方全额承担。</w:t>
      </w:r>
    </w:p>
    <w:p>
      <w:pPr>
        <w:keepNext w:val="0"/>
        <w:keepLines w:val="0"/>
        <w:pageBreakBefore w:val="0"/>
        <w:widowControl/>
        <w:suppressLineNumbers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3.交货时间：乙方须在接到甲方通知后，按甲方通知时间完成供货及安装。通知方式包括但不限于电话、短信、邮件、传真、微信，乙方确认其有效联系人姓名</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，电话为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lang w:val="en-US" w:eastAsia="zh-CN" w:bidi="ar-SA"/>
        </w:rPr>
        <w:t>，联系地址为：</w:t>
      </w:r>
      <w:r>
        <w:rPr>
          <w:rFonts w:hint="eastAsia" w:ascii="仿宋_GB2312" w:hAnsi="仿宋_GB2312" w:eastAsia="仿宋_GB2312" w:cs="仿宋_GB2312"/>
          <w:color w:val="auto"/>
          <w:kern w:val="2"/>
          <w:sz w:val="28"/>
          <w:szCs w:val="28"/>
          <w:highlight w:val="none"/>
          <w:u w:val="single"/>
          <w:lang w:val="en-US" w:eastAsia="zh-CN" w:bidi="ar-SA"/>
        </w:rPr>
        <w:t xml:space="preserve">                  </w:t>
      </w:r>
      <w:r>
        <w:rPr>
          <w:rFonts w:hint="eastAsia" w:ascii="仿宋_GB2312" w:hAnsi="仿宋_GB2312" w:eastAsia="仿宋_GB2312" w:cs="仿宋_GB2312"/>
          <w:color w:val="auto"/>
          <w:kern w:val="2"/>
          <w:sz w:val="28"/>
          <w:szCs w:val="28"/>
          <w:highlight w:val="none"/>
          <w:u w:val="none"/>
          <w:lang w:val="en-US" w:eastAsia="zh-CN" w:bidi="ar-SA"/>
        </w:rPr>
        <w:t>，</w:t>
      </w:r>
      <w:r>
        <w:rPr>
          <w:rFonts w:hint="eastAsia" w:ascii="仿宋_GB2312" w:hAnsi="仿宋_GB2312" w:eastAsia="仿宋_GB2312" w:cs="仿宋_GB2312"/>
          <w:color w:val="auto"/>
          <w:kern w:val="2"/>
          <w:sz w:val="28"/>
          <w:szCs w:val="28"/>
          <w:highlight w:val="none"/>
          <w:lang w:val="en-US" w:eastAsia="zh-CN" w:bidi="ar-SA"/>
        </w:rPr>
        <w:t>甲方以上述任一方式发出的通知均为合法有效的通知。</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三</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验收</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乙方按约将货物送至</w:t>
      </w:r>
      <w:r>
        <w:rPr>
          <w:rFonts w:hint="eastAsia" w:ascii="仿宋_GB2312" w:hAnsi="仿宋_GB2312" w:eastAsia="仿宋_GB2312" w:cs="仿宋_GB2312"/>
          <w:color w:val="auto"/>
          <w:sz w:val="28"/>
          <w:szCs w:val="28"/>
          <w:highlight w:val="none"/>
          <w:lang w:val="en-US" w:eastAsia="zh-CN"/>
        </w:rPr>
        <w:t>现场</w:t>
      </w:r>
      <w:r>
        <w:rPr>
          <w:rFonts w:hint="eastAsia" w:ascii="仿宋_GB2312" w:hAnsi="仿宋_GB2312" w:eastAsia="仿宋_GB2312" w:cs="仿宋_GB2312"/>
          <w:color w:val="auto"/>
          <w:sz w:val="28"/>
          <w:szCs w:val="28"/>
          <w:highlight w:val="none"/>
          <w:lang w:eastAsia="zh-CN"/>
        </w:rPr>
        <w:t>后，需将货物卸至甲方指定地点，</w:t>
      </w:r>
      <w:r>
        <w:rPr>
          <w:rFonts w:hint="eastAsia" w:ascii="仿宋_GB2312" w:hAnsi="仿宋_GB2312" w:eastAsia="仿宋_GB2312" w:cs="仿宋_GB2312"/>
          <w:color w:val="auto"/>
          <w:sz w:val="28"/>
          <w:szCs w:val="28"/>
          <w:highlight w:val="none"/>
          <w:lang w:val="en-US" w:eastAsia="zh-CN"/>
        </w:rPr>
        <w:t>安装结束</w:t>
      </w:r>
      <w:r>
        <w:rPr>
          <w:rFonts w:hint="eastAsia" w:ascii="仿宋_GB2312" w:hAnsi="仿宋_GB2312" w:eastAsia="仿宋_GB2312" w:cs="仿宋_GB2312"/>
          <w:color w:val="auto"/>
          <w:sz w:val="28"/>
          <w:szCs w:val="28"/>
          <w:highlight w:val="none"/>
          <w:lang w:eastAsia="zh-CN"/>
        </w:rPr>
        <w:t>并经甲方签收确认，甲方指定</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（联系方式为：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lang w:eastAsia="zh-CN"/>
        </w:rPr>
        <w:t>为</w:t>
      </w:r>
      <w:r>
        <w:rPr>
          <w:rFonts w:hint="eastAsia" w:ascii="仿宋_GB2312" w:hAnsi="仿宋_GB2312" w:eastAsia="仿宋_GB2312" w:cs="仿宋_GB2312"/>
          <w:color w:val="auto"/>
          <w:sz w:val="28"/>
          <w:szCs w:val="28"/>
          <w:highlight w:val="none"/>
          <w:lang w:val="en-US" w:eastAsia="zh-CN"/>
        </w:rPr>
        <w:t>货物签收确认</w:t>
      </w:r>
      <w:r>
        <w:rPr>
          <w:rFonts w:hint="eastAsia" w:ascii="仿宋_GB2312" w:hAnsi="仿宋_GB2312" w:eastAsia="仿宋_GB2312" w:cs="仿宋_GB2312"/>
          <w:color w:val="auto"/>
          <w:sz w:val="28"/>
          <w:szCs w:val="28"/>
          <w:highlight w:val="none"/>
          <w:lang w:eastAsia="zh-CN"/>
        </w:rPr>
        <w:t>人，</w:t>
      </w:r>
      <w:r>
        <w:rPr>
          <w:rFonts w:hint="eastAsia" w:ascii="仿宋_GB2312" w:hAnsi="仿宋_GB2312" w:eastAsia="仿宋_GB2312" w:cs="仿宋_GB2312"/>
          <w:color w:val="auto"/>
          <w:sz w:val="28"/>
          <w:szCs w:val="28"/>
          <w:highlight w:val="none"/>
          <w:lang w:val="en-US" w:eastAsia="zh-CN"/>
        </w:rPr>
        <w:t>并由其指定</w:t>
      </w:r>
      <w:r>
        <w:rPr>
          <w:rFonts w:hint="eastAsia" w:ascii="仿宋_GB2312" w:hAnsi="仿宋_GB2312" w:eastAsia="仿宋_GB2312" w:cs="仿宋_GB2312"/>
          <w:color w:val="auto"/>
          <w:sz w:val="28"/>
          <w:szCs w:val="28"/>
          <w:highlight w:val="none"/>
        </w:rPr>
        <w:t>现场</w:t>
      </w:r>
      <w:r>
        <w:rPr>
          <w:rFonts w:hint="eastAsia" w:ascii="仿宋_GB2312" w:hAnsi="仿宋_GB2312" w:eastAsia="仿宋_GB2312" w:cs="仿宋_GB2312"/>
          <w:color w:val="auto"/>
          <w:sz w:val="28"/>
          <w:szCs w:val="28"/>
          <w:highlight w:val="none"/>
          <w:lang w:val="en-US" w:eastAsia="zh-CN"/>
        </w:rPr>
        <w:t>人员对货物进行签收。如果</w:t>
      </w:r>
      <w:r>
        <w:rPr>
          <w:rFonts w:hint="eastAsia" w:ascii="仿宋_GB2312" w:hAnsi="仿宋_GB2312" w:eastAsia="仿宋_GB2312" w:cs="仿宋_GB2312"/>
          <w:color w:val="auto"/>
          <w:sz w:val="28"/>
          <w:szCs w:val="28"/>
          <w:highlight w:val="none"/>
        </w:rPr>
        <w:t>现场签收</w:t>
      </w:r>
      <w:r>
        <w:rPr>
          <w:rFonts w:hint="eastAsia" w:ascii="仿宋_GB2312" w:hAnsi="仿宋_GB2312" w:eastAsia="仿宋_GB2312" w:cs="仿宋_GB2312"/>
          <w:color w:val="auto"/>
          <w:sz w:val="28"/>
          <w:szCs w:val="28"/>
          <w:highlight w:val="none"/>
          <w:lang w:val="en-US" w:eastAsia="zh-CN"/>
        </w:rPr>
        <w:t>人员发生变更，甲方会通知乙方重新指定。</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将货物送至甲方指定地点卸货后，需拍摄货物卸载后照片，照片须带有时间、地点等水印信息；同时需拍摄货物卸载过程及卸载后视频影像，影像内容须体现项目（工地）名称，货物堆放全貌，货物颜色、品类、数量、堆放位置等有利于货物识别的相关信息。如乙方提供以上虚假影像资料，甲方将视乙方未供应该批次货物，乙方需承担由此给甲方造成的所有损失。</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在乙方将货物送至现场后，甲方有权在现场车上或货物堆放在指定地点后按物品的特性及行业惯例进行验收。如甲方认为乙方送货的数量与送货单记载数量不符的，则可以随时抽检。</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对于货物的规格型号、数量、材质等与约定不符或有其他质量问题的,甲方异议期为货物签收后</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u w:val="single"/>
          <w:lang w:val="en-US" w:eastAsia="zh-CN"/>
        </w:rPr>
        <w:t>5</w:t>
      </w:r>
      <w:r>
        <w:rPr>
          <w:rFonts w:hint="eastAsia" w:ascii="仿宋_GB2312" w:hAnsi="仿宋_GB2312" w:eastAsia="仿宋_GB2312" w:cs="仿宋_GB2312"/>
          <w:color w:val="auto"/>
          <w:sz w:val="28"/>
          <w:szCs w:val="28"/>
          <w:highlight w:val="none"/>
          <w:u w:val="single"/>
          <w:lang w:eastAsia="zh-CN"/>
        </w:rPr>
        <w:t xml:space="preserve"> </w:t>
      </w:r>
      <w:r>
        <w:rPr>
          <w:rFonts w:hint="eastAsia" w:ascii="仿宋_GB2312" w:hAnsi="仿宋_GB2312" w:eastAsia="仿宋_GB2312" w:cs="仿宋_GB2312"/>
          <w:color w:val="auto"/>
          <w:sz w:val="28"/>
          <w:szCs w:val="28"/>
          <w:highlight w:val="none"/>
          <w:lang w:eastAsia="zh-CN"/>
        </w:rPr>
        <w:t>日内，异议经核实乙方应无条件补足或换货。</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黑体" w:hAnsi="黑体" w:eastAsia="黑体" w:cs="黑体"/>
          <w:b w:val="0"/>
          <w:bCs/>
          <w:color w:val="auto"/>
          <w:sz w:val="28"/>
          <w:szCs w:val="28"/>
          <w:highlight w:val="none"/>
          <w:lang w:val="en-US"/>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四</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产品质量和包装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1.本合同的缺陷责任期为交工验收通过后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年，质量保证期（以下简称质保期）为交工验收合格后</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年。质保期内乙方进行质量“三包”，质量三包不包括因不可抗力因素和人为因素造成的损坏。乙方供应产品质量必须满足国家或本行业现行的技术标准并满足该项目需要。甲方对产品技术标准另有要求的，必须达到甲方指定标准。对于特殊产品需要提供质量外检服务的，费用由乙方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2.质保期满后，若有零部件或货物出现故障，经鉴定属于寿命异常问题（明显短于该零部件或货物正常寿命）时，则由乙方负责免费更换维修。质保期满后，乙方以优惠价格向甲方提供所需的零配件或货物。</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3.乙方必须提供合同标的中所有产品的合格证、产品说明书。检测报告、第三方检测报告（如有）、随机附件、工具（如有），货到现场后交给现场的收货人员。</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4.合同标的中若有进口产品，则乙方必须提供原产地证明、单机产品序列号、原生产厂商质量保证书、报关单等证明材料。</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5.产品包装应符合国家标准。乙方应承担由于其包装或其防护措施不妥而引起货物锈蚀、损坏和丢失等任何损失的责任或费用。产品在卸货后剥离包装物同时负责回收或送到包装清理指定地点。</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五</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价款结算及付款方式</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1.工程量据实结算，货到现场并卸货到指定项目地点经项目部及甲方指定现场签收人验收签字，当供货金额达到合同金额的50%后方可办理第一批货款支付，支付已供货金额的70%。</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2.产品全部供货到现场经甲方指定验收人验收合格并办理完成结算手续后，甲方向乙方支付至结算价的97 %。</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3.剩余3%作为工程质保金，质保期结束后无息返还。</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供货后15日内将所送货物的送货单(需为经甲方指定签收人签字确认的有效送货单)汇总后向甲方提交书面对账清单，经甲方确认后方可作为价款结算和付款依据。若因乙方迟延提交对账清单，因此造成的损失由乙方自行承担。</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5.乙方提供符合采购人财务要求的国家税务局13%增值税专用发票后办理结算，发票需要做到“三流一致”，也即“货物、劳务及应税服务流”、“资金流”、“发票流”必须都是同一受票方。</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val="en-US" w:eastAsia="zh-CN"/>
        </w:rPr>
        <w:t xml:space="preserve">第六条  </w:t>
      </w:r>
      <w:r>
        <w:rPr>
          <w:rFonts w:hint="eastAsia" w:ascii="黑体" w:hAnsi="黑体" w:eastAsia="黑体" w:cs="黑体"/>
          <w:b w:val="0"/>
          <w:bCs/>
          <w:color w:val="auto"/>
          <w:sz w:val="28"/>
          <w:szCs w:val="28"/>
          <w:highlight w:val="none"/>
        </w:rPr>
        <w:t>违约责任</w:t>
      </w:r>
    </w:p>
    <w:p>
      <w:pPr>
        <w:keepNext w:val="0"/>
        <w:keepLines w:val="0"/>
        <w:pageBreakBefore w:val="0"/>
        <w:widowControl w:val="0"/>
        <w:kinsoku/>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若逾期交货，需支付甲方逾期交货部分价款每日5%的违约金，迟延交付超过3日的，甲方有权解除合同，或将乙方承担的一部分供货任务交由其他供货商供应；甲方解除合同的，乙方须向甲方支付合同总价款20%违约金，并应赔偿甲方由此造成的全部损失，同时承担甲方由此支付的诉讼费、律师费等实现债权的费用。交付货物没有通过甲方检验，造成交付迟延，按照上述条款承担违约责任。</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交付的货物不符合约定标准，按合同总价款20%向甲方支付违约金。同时应在3日内履行更换义务，更由此换后的货物仍不符合原定质量要求的，甲方可解除合同。甲方解除合同的，乙方须向甲方支付合同总价款20%违约金，并应赔偿甲方造成的全部损失，同时承担甲方由此支付的诉讼费、律师费等实现债权的费用。</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3.乙方违反合同约定的其他自身义务时，给甲方造成损失的，甲方均有权解除合同，并有权要求乙方按上述第1、2项规定承担赔偿责任，支付违约金。</w:t>
      </w:r>
    </w:p>
    <w:p>
      <w:pPr>
        <w:keepNext w:val="0"/>
        <w:keepLines w:val="0"/>
        <w:pageBreakBefore w:val="0"/>
        <w:numPr>
          <w:ilvl w:val="0"/>
          <w:numId w:val="0"/>
        </w:numPr>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4.对于乙方因违反本合同约定需支付的违约金，甲方有权在应付货款中直接予以扣除。 </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七</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其他约定</w:t>
      </w:r>
    </w:p>
    <w:p>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1.乙方送货车辆到甲方现场后，在行驶和卸货过程中，乙方驾驶人员应自行察看周围地形，乙方车辆在甲方现场若出现事故产生损失或造成对第三人侵权等其他情形，一切损失和责任均由乙方自行承担。</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必须服从甲方指定项目部的全面协调管理工作，乙方应确保货物到现场装卸过程中的安全，严格遵守执行安全操作规范、防火规定、工艺规范等规范规定以及质量标准，对在装卸过程中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要保证项目的施工质量和施工进度，不得拖延进度，如因乙方造成工期拖延，乙方将承担给甲方造成的一切损失。乙方应保证甲方项目施工现场整洁，应做好成品保护及甲方财产保护工作。乙方应确保安装调试过程中的安全，对因安装调试发生的任何财产或人身损害承担赔偿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乙方必须保证甲方在使用乙方提供的货物时，不存在任何已知的不合法的情形，也不存在已知的与第三方专利权、著作权、商标权等相关的任何争议，如果有任何因甲方使用乙方提供的货物而提起的侵权指控，或供应假冒伪劣货物，乙方依法承担全部责任。</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rPr>
        <w:t>第</w:t>
      </w:r>
      <w:r>
        <w:rPr>
          <w:rFonts w:hint="eastAsia" w:ascii="黑体" w:hAnsi="黑体" w:eastAsia="黑体" w:cs="黑体"/>
          <w:b w:val="0"/>
          <w:bCs/>
          <w:color w:val="auto"/>
          <w:sz w:val="28"/>
          <w:szCs w:val="28"/>
          <w:highlight w:val="none"/>
          <w:lang w:val="en-US" w:eastAsia="zh-CN"/>
        </w:rPr>
        <w:t>八</w:t>
      </w:r>
      <w:r>
        <w:rPr>
          <w:rFonts w:hint="eastAsia" w:ascii="黑体" w:hAnsi="黑体" w:eastAsia="黑体" w:cs="黑体"/>
          <w:b w:val="0"/>
          <w:bCs/>
          <w:color w:val="auto"/>
          <w:sz w:val="28"/>
          <w:szCs w:val="28"/>
          <w:highlight w:val="none"/>
        </w:rPr>
        <w:t>条</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争议解决方式</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在履行合同期间发生纠份，先由双方协商解决，协商不成，双方约定向甲方所在地人民法院提起诉讼。</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w:t>
      </w:r>
      <w:r>
        <w:rPr>
          <w:rFonts w:hint="eastAsia" w:ascii="黑体" w:hAnsi="黑体" w:eastAsia="黑体" w:cs="黑体"/>
          <w:b w:val="0"/>
          <w:bCs/>
          <w:color w:val="auto"/>
          <w:sz w:val="28"/>
          <w:szCs w:val="28"/>
          <w:highlight w:val="none"/>
          <w:lang w:val="en-US" w:eastAsia="zh-CN"/>
        </w:rPr>
        <w:t>九条</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1.本合同未尽事宜，由双方另行协商解决并签订补充协议。</w:t>
      </w:r>
    </w:p>
    <w:p>
      <w:pPr>
        <w:keepNext w:val="0"/>
        <w:keepLines w:val="0"/>
        <w:pageBreakBefore w:val="0"/>
        <w:numPr>
          <w:ilvl w:val="0"/>
          <w:numId w:val="0"/>
        </w:numPr>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2.本合同自甲乙双方签字盖章之日起生效。</w:t>
      </w:r>
    </w:p>
    <w:p>
      <w:pPr>
        <w:pStyle w:val="2"/>
        <w:keepNext w:val="0"/>
        <w:keepLines w:val="0"/>
        <w:pageBreakBefore w:val="0"/>
        <w:kinsoku/>
        <w:overflowPunct/>
        <w:autoSpaceDE/>
        <w:autoSpaceDN/>
        <w:bidi w:val="0"/>
        <w:adjustRightInd/>
        <w:snapToGrid/>
        <w:spacing w:line="560" w:lineRule="exact"/>
        <w:ind w:firstLine="560" w:firstLineChars="200"/>
        <w:jc w:val="both"/>
        <w:rPr>
          <w:rFonts w:hint="eastAsia"/>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3.本合同一式</w:t>
      </w:r>
      <w:r>
        <w:rPr>
          <w:rFonts w:hint="eastAsia" w:ascii="仿宋_GB2312" w:hAnsi="仿宋_GB2312" w:eastAsia="仿宋_GB2312" w:cs="仿宋_GB2312"/>
          <w:color w:val="auto"/>
          <w:sz w:val="28"/>
          <w:szCs w:val="28"/>
          <w:highlight w:val="none"/>
          <w:u w:val="single"/>
          <w:lang w:val="en-US" w:eastAsia="zh-CN"/>
        </w:rPr>
        <w:t xml:space="preserve"> 肆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p>
    <w:p>
      <w:pPr>
        <w:keepNext w:val="0"/>
        <w:keepLines w:val="0"/>
        <w:pageBreakBefore w:val="0"/>
        <w:kinsoku/>
        <w:wordWrap w:val="0"/>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附件：1.廉政合同</w:t>
      </w:r>
    </w:p>
    <w:p>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default"/>
          <w:color w:val="auto"/>
          <w:highlight w:val="none"/>
          <w:lang w:val="en-US" w:eastAsia="zh-CN"/>
        </w:rPr>
      </w:pPr>
      <w:r>
        <w:rPr>
          <w:rFonts w:hint="eastAsia" w:ascii="仿宋_GB2312" w:hAnsi="仿宋_GB2312" w:eastAsia="仿宋_GB2312" w:cs="仿宋_GB2312"/>
          <w:color w:val="auto"/>
          <w:sz w:val="28"/>
          <w:szCs w:val="28"/>
          <w:highlight w:val="none"/>
          <w:lang w:val="en-US" w:eastAsia="zh-CN"/>
        </w:rPr>
        <w:t>2.安全生产合同</w:t>
      </w:r>
    </w:p>
    <w:p>
      <w:pPr>
        <w:pStyle w:val="20"/>
        <w:keepNext w:val="0"/>
        <w:keepLines w:val="0"/>
        <w:pageBreakBefore w:val="0"/>
        <w:kinsoku/>
        <w:overflowPunct/>
        <w:autoSpaceDE/>
        <w:autoSpaceDN/>
        <w:bidi w:val="0"/>
        <w:adjustRightInd/>
        <w:snapToGrid/>
        <w:spacing w:line="560" w:lineRule="exact"/>
        <w:ind w:left="0" w:leftChars="0" w:firstLine="1400" w:firstLineChars="5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3.报价清单</w:t>
      </w:r>
    </w:p>
    <w:p>
      <w:pPr>
        <w:keepNext w:val="0"/>
        <w:keepLines w:val="0"/>
        <w:pageBreakBefore w:val="0"/>
        <w:kinsoku/>
        <w:overflow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（以下无正文）</w:t>
      </w:r>
    </w:p>
    <w:p>
      <w:pPr>
        <w:bidi w:val="0"/>
        <w:rPr>
          <w:rFonts w:hint="eastAsia"/>
          <w:highlight w:val="none"/>
          <w:lang w:val="en-US" w:eastAsia="zh-CN"/>
        </w:rPr>
      </w:pPr>
    </w:p>
    <w:p>
      <w:pPr>
        <w:pStyle w:val="2"/>
        <w:bidi w:val="0"/>
        <w:rPr>
          <w:rFonts w:hint="eastAsia"/>
          <w:highlight w:val="none"/>
          <w:lang w:val="en-US" w:eastAsia="zh-CN"/>
        </w:rPr>
      </w:pPr>
    </w:p>
    <w:p>
      <w:pPr>
        <w:pStyle w:val="2"/>
        <w:bidi w:val="0"/>
        <w:rPr>
          <w:rFonts w:hint="eastAsia"/>
          <w:highlight w:val="none"/>
          <w:lang w:val="en-US" w:eastAsia="zh-CN"/>
        </w:rPr>
      </w:pPr>
    </w:p>
    <w:p>
      <w:pPr>
        <w:pStyle w:val="2"/>
        <w:bidi w:val="0"/>
        <w:rPr>
          <w:rFonts w:hint="eastAsia"/>
          <w:highlight w:val="none"/>
          <w:lang w:val="en-US" w:eastAsia="zh-CN"/>
        </w:rPr>
      </w:pPr>
    </w:p>
    <w:p>
      <w:pPr>
        <w:pStyle w:val="2"/>
        <w:bidi w:val="0"/>
        <w:rPr>
          <w:rFonts w:hint="eastAsia"/>
          <w:highlight w:val="none"/>
          <w:lang w:val="en-US" w:eastAsia="zh-CN"/>
        </w:rPr>
      </w:pPr>
    </w:p>
    <w:p>
      <w:pPr>
        <w:pStyle w:val="2"/>
        <w:bidi w:val="0"/>
        <w:rPr>
          <w:rFonts w:hint="eastAsia"/>
          <w:highlight w:val="none"/>
          <w:lang w:val="en-US" w:eastAsia="zh-CN"/>
        </w:rPr>
      </w:pPr>
    </w:p>
    <w:p>
      <w:pPr>
        <w:bidi w:val="0"/>
        <w:rPr>
          <w:rFonts w:hint="eastAsia"/>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color w:val="auto"/>
          <w:highlight w:val="none"/>
          <w:u w:val="none"/>
          <w:lang w:val="en-US" w:eastAsia="zh-CN"/>
        </w:rPr>
      </w:pPr>
      <w:r>
        <w:rPr>
          <w:rFonts w:hint="eastAsia" w:ascii="仿宋_GB2312" w:hAnsi="仿宋_GB2312" w:eastAsia="仿宋_GB2312" w:cs="仿宋_GB2312"/>
          <w:color w:val="auto"/>
          <w:sz w:val="28"/>
          <w:szCs w:val="28"/>
          <w:highlight w:val="none"/>
          <w:lang w:val="en-US" w:eastAsia="zh-CN"/>
        </w:rPr>
        <w:t>甲方：</w:t>
      </w:r>
      <w:r>
        <w:rPr>
          <w:rFonts w:hint="eastAsia" w:ascii="仿宋_GB2312" w:hAnsi="仿宋_GB2312" w:eastAsia="仿宋_GB2312" w:cs="仿宋_GB2312"/>
          <w:color w:val="auto"/>
          <w:sz w:val="28"/>
          <w:szCs w:val="28"/>
          <w:highlight w:val="none"/>
          <w:u w:val="none"/>
          <w:lang w:val="en-US" w:eastAsia="zh-CN"/>
        </w:rPr>
        <w:t>安徽省经工物资有限公司</w:t>
      </w:r>
      <w:r>
        <w:rPr>
          <w:rFonts w:hint="eastAsia" w:ascii="仿宋_GB2312" w:hAnsi="仿宋_GB2312" w:eastAsia="仿宋_GB2312" w:cs="仿宋_GB2312"/>
          <w:color w:val="auto"/>
          <w:sz w:val="28"/>
          <w:szCs w:val="28"/>
          <w:highlight w:val="none"/>
          <w:lang w:val="en-US" w:eastAsia="zh-CN"/>
        </w:rPr>
        <w:t xml:space="preserve">        乙方：</w:t>
      </w:r>
      <w:r>
        <w:rPr>
          <w:rFonts w:hint="eastAsia" w:ascii="仿宋_GB2312" w:hAnsi="仿宋_GB2312" w:eastAsia="仿宋_GB2312" w:cs="仿宋_GB2312"/>
          <w:color w:val="auto"/>
          <w:sz w:val="28"/>
          <w:szCs w:val="28"/>
          <w:highlight w:val="none"/>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2800" w:firstLineChars="10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（盖章）                          （盖章）</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法定代表人或                        法定代表人或</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授权委托人（签字）：                授权委托人（签字）：</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纳税识别号：91340100MA2MY6GA6E      纳税识别号: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地址：安徽省合肥市蜀山区甘泉路      地址：</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398号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开户银行：工行合肥银河支行          开户银行：</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账号：1302012119200034038           账号：</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年   月  日                         年   月   日</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color w:val="auto"/>
          <w:spacing w:val="0"/>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br w:type="page"/>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lang w:val="en-US" w:eastAsia="zh-CN"/>
        </w:rPr>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bCs/>
          <w:color w:val="auto"/>
          <w:spacing w:val="0"/>
          <w:sz w:val="28"/>
          <w:szCs w:val="28"/>
          <w:highlight w:val="none"/>
          <w:lang w:val="en-US" w:eastAsia="zh-CN"/>
        </w:rPr>
      </w:pPr>
      <w:r>
        <w:rPr>
          <w:rFonts w:hint="eastAsia" w:ascii="仿宋_GB2312" w:hAnsi="仿宋_GB2312" w:eastAsia="仿宋_GB2312" w:cs="仿宋_GB2312"/>
          <w:b/>
          <w:bCs/>
          <w:color w:val="auto"/>
          <w:spacing w:val="0"/>
          <w:sz w:val="28"/>
          <w:szCs w:val="28"/>
          <w:highlight w:val="none"/>
          <w:lang w:val="en-US" w:eastAsia="zh-CN"/>
        </w:rPr>
        <w:t>附件一：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bCs/>
          <w:color w:val="auto"/>
          <w:spacing w:val="0"/>
          <w:sz w:val="44"/>
          <w:szCs w:val="44"/>
          <w:highlight w:val="none"/>
          <w:lang w:val="en-US" w:eastAsia="zh-CN"/>
        </w:rPr>
      </w:pPr>
      <w:r>
        <w:rPr>
          <w:rFonts w:hint="eastAsia" w:ascii="方正小标宋简体" w:hAnsi="方正小标宋简体" w:eastAsia="方正小标宋简体" w:cs="方正小标宋简体"/>
          <w:b/>
          <w:bCs/>
          <w:color w:val="auto"/>
          <w:spacing w:val="0"/>
          <w:sz w:val="44"/>
          <w:szCs w:val="44"/>
          <w:highlight w:val="none"/>
          <w:lang w:val="en-US" w:eastAsia="zh-CN"/>
        </w:rPr>
        <w:t>廉 政 合 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b/>
          <w:bCs/>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pacing w:val="0"/>
          <w:sz w:val="28"/>
          <w:szCs w:val="28"/>
          <w:highlight w:val="none"/>
          <w:lang w:val="en-US" w:eastAsia="zh-CN"/>
        </w:rPr>
        <w:t xml:space="preserve">为抓好物资设备等采购供应中的党风廉政建设，规范、约束采供双方行为，确保双方工作人员廉洁从业，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（项目名称）的采购人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（采购人名称，以下简称甲方）与该项目的供货商</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（供货商名称，以下简称乙方），特订立如下合同。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甲乙双方的权利和义务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严格遵守党</w:t>
      </w:r>
      <w:r>
        <w:rPr>
          <w:rFonts w:hint="eastAsia" w:ascii="仿宋_GB2312" w:hAnsi="仿宋_GB2312" w:eastAsia="仿宋_GB2312" w:cs="仿宋_GB2312"/>
          <w:color w:val="auto"/>
          <w:sz w:val="28"/>
          <w:szCs w:val="28"/>
          <w:highlight w:val="none"/>
          <w:lang w:val="en-US" w:eastAsia="zh-CN"/>
        </w:rPr>
        <w:t>的政策</w:t>
      </w:r>
      <w:r>
        <w:rPr>
          <w:rFonts w:hint="eastAsia" w:ascii="仿宋_GB2312" w:hAnsi="仿宋_GB2312" w:eastAsia="仿宋_GB2312" w:cs="仿宋_GB2312"/>
          <w:color w:val="auto"/>
          <w:sz w:val="28"/>
          <w:szCs w:val="28"/>
          <w:highlight w:val="none"/>
        </w:rPr>
        <w:t>和国家有关法律</w:t>
      </w:r>
      <w:r>
        <w:rPr>
          <w:rFonts w:hint="eastAsia" w:ascii="仿宋_GB2312" w:hAnsi="仿宋_GB2312" w:eastAsia="仿宋_GB2312" w:cs="仿宋_GB2312"/>
          <w:color w:val="auto"/>
          <w:sz w:val="28"/>
          <w:szCs w:val="28"/>
          <w:highlight w:val="none"/>
          <w:lang w:val="en-US" w:eastAsia="zh-CN"/>
        </w:rPr>
        <w:t>法规的</w:t>
      </w:r>
      <w:r>
        <w:rPr>
          <w:rFonts w:hint="eastAsia" w:ascii="仿宋_GB2312" w:hAnsi="仿宋_GB2312" w:eastAsia="仿宋_GB2312" w:cs="仿宋_GB2312"/>
          <w:color w:val="auto"/>
          <w:sz w:val="28"/>
          <w:szCs w:val="28"/>
          <w:highlight w:val="none"/>
        </w:rPr>
        <w:t>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严格执行</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rPr>
        <w:t>合同文件</w:t>
      </w:r>
      <w:r>
        <w:rPr>
          <w:rFonts w:hint="eastAsia" w:ascii="仿宋_GB2312" w:hAnsi="仿宋_GB2312" w:eastAsia="仿宋_GB2312" w:cs="仿宋_GB2312"/>
          <w:color w:val="auto"/>
          <w:sz w:val="28"/>
          <w:szCs w:val="28"/>
          <w:highlight w:val="none"/>
          <w:u w:val="none"/>
          <w:lang w:val="en-US" w:eastAsia="zh-CN"/>
        </w:rPr>
        <w:t>名称</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auto"/>
          <w:sz w:val="28"/>
          <w:szCs w:val="28"/>
          <w:highlight w:val="none"/>
          <w:u w:val="none"/>
          <w:lang w:val="en-US" w:eastAsia="zh-CN"/>
        </w:rPr>
        <w:t>合同文件</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rPr>
        <w:t>自觉按合同办事。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双方的业务活动坚持公开、公正、诚信、透明的原则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法律认定的商业秘密和合同文件另有规定除外</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，不得损害国家和集体利益。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建立健全廉政制度，开展廉政教育和廉洁文化建设</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公布举报电话，监督并认真查处</w:t>
      </w:r>
      <w:r>
        <w:rPr>
          <w:rFonts w:hint="eastAsia" w:ascii="仿宋_GB2312" w:hAnsi="仿宋_GB2312" w:eastAsia="仿宋_GB2312" w:cs="仿宋_GB2312"/>
          <w:color w:val="auto"/>
          <w:sz w:val="28"/>
          <w:szCs w:val="28"/>
          <w:highlight w:val="none"/>
          <w:lang w:val="en-US" w:eastAsia="zh-CN"/>
        </w:rPr>
        <w:t>违规</w:t>
      </w:r>
      <w:r>
        <w:rPr>
          <w:rFonts w:hint="eastAsia" w:ascii="仿宋_GB2312" w:hAnsi="仿宋_GB2312" w:eastAsia="仿宋_GB2312" w:cs="仿宋_GB2312"/>
          <w:color w:val="auto"/>
          <w:sz w:val="28"/>
          <w:szCs w:val="28"/>
          <w:highlight w:val="none"/>
        </w:rPr>
        <w:t>违纪违法行为。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发现对方严重违反本合同义务条款的行为，有向有关部门举报、建议给予处理并要求告知处理结果的权利。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（1）甲方及其工作人员不得利用职务之便索要或接受乙方的礼品、礼金、消费卡和有价证券、股权、其他金融产品等财物。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（2）甲方及其工作人员不得在利用职务之便为乙方谋取利益之前或之后，约定在其离职后收受乙方财物，并在离职后收受。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（3）甲方及其工作人员不得在乙方报销应由甲方或个人支付的费用等。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（4）甲方及其工作人员不得要求或者接受乙方可能影响公正执行公务的宴请以及旅游、健身、娱乐等活动安排，</w:t>
      </w:r>
      <w:r>
        <w:rPr>
          <w:rFonts w:hint="eastAsia" w:ascii="仿宋_GB2312" w:hAnsi="仿宋_GB2312" w:eastAsia="仿宋_GB2312" w:cs="仿宋_GB2312"/>
          <w:color w:val="auto"/>
          <w:sz w:val="28"/>
          <w:szCs w:val="28"/>
          <w:highlight w:val="none"/>
          <w:u w:val="none"/>
          <w:lang w:val="en-US" w:eastAsia="zh-CN"/>
        </w:rPr>
        <w:t>不得要求和接受乙方提供的交通工具、通讯工具、高档办公用品等。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（6）甲方及其工作人员不得要求乙方购买合同规定外的材料和设备。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3.乙方的义务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（1）乙方及其工作人员不得以任何形式向甲方及其工作人员行贿或馈赠礼品、礼金、消费卡和有价证券、股权、其他金融产品等财物，以及回扣、好处费、感谢费等。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乙方及其工作人员不得与甲方及其工作人员约定，甲方及其工作人员</w:t>
      </w:r>
      <w:r>
        <w:rPr>
          <w:rFonts w:hint="eastAsia" w:ascii="仿宋_GB2312" w:hAnsi="仿宋_GB2312" w:eastAsia="仿宋_GB2312" w:cs="仿宋_GB2312"/>
          <w:color w:val="auto"/>
          <w:sz w:val="28"/>
          <w:szCs w:val="28"/>
          <w:highlight w:val="none"/>
          <w:lang w:eastAsia="zh-CN"/>
        </w:rPr>
        <w:t>利用职务之便为乙方谋取利益，</w:t>
      </w:r>
      <w:r>
        <w:rPr>
          <w:rFonts w:hint="eastAsia" w:ascii="仿宋_GB2312" w:hAnsi="仿宋_GB2312" w:eastAsia="仿宋_GB2312" w:cs="仿宋_GB2312"/>
          <w:color w:val="auto"/>
          <w:sz w:val="28"/>
          <w:szCs w:val="28"/>
          <w:highlight w:val="none"/>
          <w:lang w:val="en-US" w:eastAsia="zh-CN"/>
        </w:rPr>
        <w:t>乙方</w:t>
      </w:r>
      <w:r>
        <w:rPr>
          <w:rFonts w:hint="eastAsia" w:ascii="仿宋_GB2312" w:hAnsi="仿宋_GB2312" w:eastAsia="仿宋_GB2312" w:cs="仿宋_GB2312"/>
          <w:color w:val="auto"/>
          <w:sz w:val="28"/>
          <w:szCs w:val="28"/>
          <w:highlight w:val="none"/>
          <w:lang w:eastAsia="zh-CN"/>
        </w:rPr>
        <w:t>在其离职后</w:t>
      </w:r>
      <w:r>
        <w:rPr>
          <w:rFonts w:hint="eastAsia" w:ascii="仿宋_GB2312" w:hAnsi="仿宋_GB2312" w:eastAsia="仿宋_GB2312" w:cs="仿宋_GB2312"/>
          <w:color w:val="auto"/>
          <w:sz w:val="28"/>
          <w:szCs w:val="28"/>
          <w:highlight w:val="none"/>
          <w:lang w:val="en-US" w:eastAsia="zh-CN"/>
        </w:rPr>
        <w:t>给予</w:t>
      </w:r>
      <w:r>
        <w:rPr>
          <w:rFonts w:hint="eastAsia" w:ascii="仿宋_GB2312" w:hAnsi="仿宋_GB2312" w:eastAsia="仿宋_GB2312" w:cs="仿宋_GB2312"/>
          <w:color w:val="auto"/>
          <w:sz w:val="28"/>
          <w:szCs w:val="28"/>
          <w:highlight w:val="none"/>
          <w:lang w:eastAsia="zh-CN"/>
        </w:rPr>
        <w:t>财物。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（3）乙方不得以任何名义为甲方及其工作人员报销由甲方单位或个人支付的任何费用。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lang w:val="en-US" w:eastAsia="zh-CN"/>
        </w:rPr>
        <w:t>（4）乙方及其工作人员不得以任何理由邀请甲方工作人员参与可能影响公正执行公务的宴请以及旅游、健身、娱乐等活动。</w:t>
      </w:r>
      <w:r>
        <w:rPr>
          <w:rFonts w:hint="eastAsia" w:ascii="仿宋_GB2312" w:hAnsi="仿宋_GB2312" w:eastAsia="仿宋_GB2312" w:cs="仿宋_GB2312"/>
          <w:color w:val="auto"/>
          <w:sz w:val="28"/>
          <w:szCs w:val="28"/>
          <w:highlight w:val="none"/>
          <w:u w:val="none"/>
          <w:lang w:val="en-US" w:eastAsia="zh-CN"/>
        </w:rPr>
        <w:t>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（5）乙方及其工作人员不得为甲方工作人员住房装修、婚丧嫁娶、出国出境、旅游等提供方便；不得为甲方工作人员的特定关系人以安排工作为名，使其不实际工作却获取薪酬。</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（6）甲方及其工作人员不得有其他可能影响廉洁从业的行为。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4.违约责任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（1）甲方及其工作人员违反本合同第1、2条，按管理权限，依据有关规定给予党纪政务处分和组织处理；涉嫌犯罪的，移交司法机关追究刑事责任；给乙方单位造成经济损失的，应予以赔偿。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（2）乙方及其工作人员违反本合同第1、3条，按管理权限，依据有关规定，给予相关处理；给甲方单位造成经济损失的，应予以赔偿。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5.本合同有效期为甲乙双方签署之日起至该供货合同履行完毕后止。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6.本合同作为</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（合同文件名称）的附件，与采购合同具有同等的法律效力，经合同双方签署立即生效。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rPr>
        <w:t>7.本合同一式</w:t>
      </w:r>
      <w:r>
        <w:rPr>
          <w:rFonts w:hint="eastAsia" w:ascii="仿宋_GB2312" w:hAnsi="仿宋_GB2312" w:eastAsia="仿宋_GB2312" w:cs="仿宋_GB2312"/>
          <w:color w:val="auto"/>
          <w:sz w:val="28"/>
          <w:szCs w:val="28"/>
          <w:highlight w:val="none"/>
          <w:u w:val="single"/>
          <w:lang w:val="en-US" w:eastAsia="zh-CN"/>
        </w:rPr>
        <w:t xml:space="preserve">  肆  </w:t>
      </w:r>
      <w:r>
        <w:rPr>
          <w:rFonts w:hint="eastAsia" w:ascii="仿宋_GB2312" w:hAnsi="仿宋_GB2312" w:eastAsia="仿宋_GB2312" w:cs="仿宋_GB2312"/>
          <w:color w:val="auto"/>
          <w:sz w:val="28"/>
          <w:szCs w:val="28"/>
          <w:highlight w:val="none"/>
          <w:lang w:val="en-US" w:eastAsia="zh-CN"/>
        </w:rPr>
        <w:t>份，甲方执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份，乙方执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盖章</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法定代表人</w:t>
      </w:r>
      <w:r>
        <w:rPr>
          <w:rFonts w:hint="eastAsia" w:ascii="仿宋_GB2312" w:hAnsi="仿宋_GB2312" w:eastAsia="仿宋_GB2312" w:cs="仿宋_GB2312"/>
          <w:color w:val="auto"/>
          <w:sz w:val="28"/>
          <w:szCs w:val="28"/>
          <w:highlight w:val="none"/>
          <w:lang w:val="en-US" w:eastAsia="zh-CN"/>
        </w:rPr>
        <w:t>或</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法定代表或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年   月   日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年   月   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p>
    <w:p>
      <w:pPr>
        <w:pStyle w:val="2"/>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甲方监督单位：（盖章）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乙方监督单位：（盖章）</w:t>
      </w: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highlight w:val="none"/>
        </w:rPr>
      </w:pPr>
    </w:p>
    <w:p>
      <w:pPr>
        <w:keepNext w:val="0"/>
        <w:keepLines w:val="0"/>
        <w:pageBreakBefore w:val="0"/>
        <w:kinsoku/>
        <w:overflowPunct/>
        <w:autoSpaceDE/>
        <w:autoSpaceDN/>
        <w:bidi w:val="0"/>
        <w:adjustRightInd/>
        <w:snapToGrid/>
        <w:spacing w:line="560" w:lineRule="exact"/>
        <w:ind w:firstLine="560" w:firstLineChars="200"/>
        <w:jc w:val="both"/>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附件二：</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color w:val="auto"/>
          <w:sz w:val="44"/>
          <w:szCs w:val="44"/>
          <w:highlight w:val="none"/>
        </w:rPr>
      </w:pPr>
      <w:r>
        <w:rPr>
          <w:rFonts w:hint="eastAsia" w:ascii="方正小标宋简体" w:hAnsi="方正小标宋简体" w:eastAsia="方正小标宋简体" w:cs="方正小标宋简体"/>
          <w:b/>
          <w:color w:val="auto"/>
          <w:sz w:val="44"/>
          <w:szCs w:val="44"/>
          <w:highlight w:val="none"/>
        </w:rPr>
        <w:t>安全生产合同</w:t>
      </w:r>
    </w:p>
    <w:p>
      <w:pPr>
        <w:pStyle w:val="2"/>
        <w:keepNext w:val="0"/>
        <w:keepLines w:val="0"/>
        <w:pageBreakBefore w:val="0"/>
        <w:kinsoku/>
        <w:overflowPunct/>
        <w:autoSpaceDE/>
        <w:autoSpaceDN/>
        <w:bidi w:val="0"/>
        <w:adjustRightInd/>
        <w:snapToGrid/>
        <w:spacing w:line="560" w:lineRule="exact"/>
        <w:ind w:firstLine="420" w:firstLineChars="200"/>
        <w:jc w:val="both"/>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为在</w:t>
      </w:r>
      <w:r>
        <w:rPr>
          <w:rFonts w:hint="eastAsia" w:ascii="仿宋_GB2312" w:hAnsi="仿宋_GB2312" w:eastAsia="仿宋_GB2312" w:cs="仿宋_GB2312"/>
          <w:color w:val="auto"/>
          <w:spacing w:val="0"/>
          <w:sz w:val="28"/>
          <w:szCs w:val="28"/>
          <w:highlight w:val="none"/>
          <w:lang w:val="en-US" w:eastAsia="zh-CN"/>
        </w:rPr>
        <w:t xml:space="preserve"> </w:t>
      </w:r>
      <w:r>
        <w:rPr>
          <w:rFonts w:hint="eastAsia" w:ascii="仿宋_GB2312" w:hAnsi="仿宋_GB2312" w:eastAsia="仿宋_GB2312" w:cs="仿宋_GB2312"/>
          <w:color w:val="auto"/>
          <w:spacing w:val="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（项目名称）</w:t>
      </w:r>
      <w:r>
        <w:rPr>
          <w:rFonts w:hint="eastAsia" w:ascii="仿宋_GB2312" w:hAnsi="仿宋_GB2312" w:eastAsia="仿宋_GB2312" w:cs="仿宋_GB2312"/>
          <w:color w:val="auto"/>
          <w:sz w:val="28"/>
          <w:szCs w:val="28"/>
          <w:highlight w:val="none"/>
        </w:rPr>
        <w:t>的实施过程中创造安全、高效的施工环境，切实搞好本项目的安全管理工作，本项目</w:t>
      </w:r>
      <w:r>
        <w:rPr>
          <w:rFonts w:hint="eastAsia" w:ascii="仿宋_GB2312" w:hAnsi="仿宋_GB2312" w:eastAsia="仿宋_GB2312" w:cs="仿宋_GB2312"/>
          <w:color w:val="auto"/>
          <w:sz w:val="28"/>
          <w:szCs w:val="28"/>
          <w:highlight w:val="none"/>
          <w:lang w:val="en-US" w:eastAsia="zh-CN"/>
        </w:rPr>
        <w:t xml:space="preserve">采购人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（采购人名称，以下简称甲方）与该项目的供货商</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lang w:val="en-US" w:eastAsia="zh-CN"/>
        </w:rPr>
        <w:t>（供货商名称，以下简称乙方）</w:t>
      </w:r>
      <w:r>
        <w:rPr>
          <w:rFonts w:hint="eastAsia" w:ascii="仿宋_GB2312" w:hAnsi="仿宋_GB2312" w:eastAsia="仿宋_GB2312" w:cs="仿宋_GB2312"/>
          <w:color w:val="auto"/>
          <w:sz w:val="28"/>
          <w:szCs w:val="28"/>
          <w:highlight w:val="none"/>
        </w:rPr>
        <w:t>特此签订</w:t>
      </w:r>
      <w:r>
        <w:rPr>
          <w:rFonts w:hint="eastAsia" w:ascii="仿宋_GB2312" w:hAnsi="仿宋_GB2312" w:eastAsia="仿宋_GB2312" w:cs="仿宋_GB2312"/>
          <w:color w:val="auto"/>
          <w:sz w:val="28"/>
          <w:szCs w:val="28"/>
          <w:highlight w:val="none"/>
          <w:lang w:val="en-US" w:eastAsia="zh-CN"/>
        </w:rPr>
        <w:t>此</w:t>
      </w:r>
      <w:r>
        <w:rPr>
          <w:rFonts w:hint="eastAsia" w:ascii="仿宋_GB2312" w:hAnsi="仿宋_GB2312" w:eastAsia="仿宋_GB2312" w:cs="仿宋_GB2312"/>
          <w:color w:val="auto"/>
          <w:sz w:val="28"/>
          <w:szCs w:val="28"/>
          <w:highlight w:val="none"/>
        </w:rPr>
        <w:t>安全生产合同：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为强化企业安全生产主体责任，加强道路运输安全管理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防止和减少安全事故，保障人民群众生命和财产安全，有效促进双方全面履行经营合同，维护双方的合法权益，依据《</w:t>
      </w:r>
      <w:r>
        <w:rPr>
          <w:rFonts w:hint="eastAsia" w:ascii="仿宋_GB2312" w:hAnsi="仿宋_GB2312" w:eastAsia="仿宋_GB2312" w:cs="仿宋_GB2312"/>
          <w:color w:val="auto"/>
          <w:sz w:val="28"/>
          <w:szCs w:val="28"/>
          <w:highlight w:val="none"/>
          <w:lang w:val="en-US" w:eastAsia="zh-CN"/>
        </w:rPr>
        <w:t>中华人民共和国民法典</w:t>
      </w:r>
      <w:r>
        <w:rPr>
          <w:rFonts w:hint="eastAsia" w:ascii="仿宋_GB2312" w:hAnsi="仿宋_GB2312" w:eastAsia="仿宋_GB2312" w:cs="仿宋_GB2312"/>
          <w:color w:val="auto"/>
          <w:sz w:val="28"/>
          <w:szCs w:val="28"/>
          <w:highlight w:val="none"/>
        </w:rPr>
        <w:t>》、《中华人民共和道路交通安全法》、《公路安全保护条例》、《中华人民共和国公路法》、《超限运输车辆行驶公路管理规定》及其他相关安全法律、行政法规和规章，在平等、自愿、公平和诚实信用的原则下，双方就材料供应、运输安全事项协商一致，双方达成如下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一、本协议履行期限与双方签订的材料供应合同履行期限相同，属材料供应合同的附件之一，具有与材料供应合同同等的法律效力。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二、甲方负责提供材料堆放场地，乙方负责运输</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供应及安装</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三、在甲方运输区域，乙方运输车辆必须服从甲方的统一管理、调度和指挥，严格遵守交通规则，保证道路的畅通和运输安全，不得乱停、乱靠、乱装、乱卸，不得争道抢行，不得超速超载。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四、乙方对提供的运输车辆应当已取得国家道路运输的许可证，并确保车辆性能符合安全技术标准、防止带病上路运行，已依照国家法律政策规定购齐有关车辆保险。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五</w:t>
      </w:r>
      <w:r>
        <w:rPr>
          <w:rFonts w:hint="eastAsia" w:ascii="仿宋_GB2312" w:hAnsi="仿宋_GB2312" w:eastAsia="仿宋_GB2312" w:cs="仿宋_GB2312"/>
          <w:color w:val="auto"/>
          <w:sz w:val="28"/>
          <w:szCs w:val="28"/>
          <w:highlight w:val="none"/>
        </w:rPr>
        <w:t>、乙方应当设立安全管理人员，配备有专业知识、技能的人员并明确责任，建立、健全安全规章制度，为其雇佣的从业人员提供安全法规知识、安全规章制度、安全操作规程和安全操作技能教育和培训。对于从事电气、起重、建筑登高架设作业、锅炉、压力容器、焊接、机动车船艇驾驶、爆破、潜水、瓦斯检验等特殊工种的人员，经过专业培训，获得《安全操作合格证》</w:t>
      </w:r>
      <w:r>
        <w:rPr>
          <w:rFonts w:hint="eastAsia" w:ascii="仿宋_GB2312" w:hAnsi="仿宋_GB2312" w:eastAsia="仿宋_GB2312" w:cs="仿宋_GB2312"/>
          <w:color w:val="auto"/>
          <w:sz w:val="28"/>
          <w:szCs w:val="28"/>
          <w:highlight w:val="none"/>
          <w:lang w:val="en-US" w:eastAsia="zh-CN"/>
        </w:rPr>
        <w:t>或岗位证书</w:t>
      </w:r>
      <w:r>
        <w:rPr>
          <w:rFonts w:hint="eastAsia" w:ascii="仿宋_GB2312" w:hAnsi="仿宋_GB2312" w:eastAsia="仿宋_GB2312" w:cs="仿宋_GB2312"/>
          <w:color w:val="auto"/>
          <w:sz w:val="28"/>
          <w:szCs w:val="28"/>
          <w:highlight w:val="none"/>
        </w:rPr>
        <w:t>后，方准持证上岗。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六、</w:t>
      </w:r>
      <w:r>
        <w:rPr>
          <w:rFonts w:hint="eastAsia" w:ascii="仿宋_GB2312" w:hAnsi="仿宋_GB2312" w:eastAsia="仿宋_GB2312" w:cs="仿宋_GB2312"/>
          <w:color w:val="auto"/>
          <w:sz w:val="28"/>
          <w:szCs w:val="28"/>
          <w:highlight w:val="none"/>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操作人员上岗，必须按规定穿戴防护用品。施工负责人和安全</w:t>
      </w:r>
      <w:r>
        <w:rPr>
          <w:rFonts w:hint="eastAsia" w:ascii="仿宋_GB2312" w:hAnsi="仿宋_GB2312" w:eastAsia="仿宋_GB2312" w:cs="仿宋_GB2312"/>
          <w:color w:val="auto"/>
          <w:sz w:val="28"/>
          <w:szCs w:val="28"/>
          <w:highlight w:val="none"/>
          <w:lang w:val="en-US" w:eastAsia="zh-CN"/>
        </w:rPr>
        <w:t>管理人</w:t>
      </w:r>
      <w:r>
        <w:rPr>
          <w:rFonts w:hint="eastAsia" w:ascii="仿宋_GB2312" w:hAnsi="仿宋_GB2312" w:eastAsia="仿宋_GB2312" w:cs="仿宋_GB2312"/>
          <w:color w:val="auto"/>
          <w:sz w:val="28"/>
          <w:szCs w:val="28"/>
          <w:highlight w:val="none"/>
        </w:rPr>
        <w:t>员应随时检查劳动防护用品的穿戴情况，不按规定穿戴防护用品的人员不得上岗。</w:t>
      </w:r>
      <w:r>
        <w:rPr>
          <w:rFonts w:hint="eastAsia" w:ascii="仿宋_GB2312" w:hAnsi="仿宋_GB2312" w:eastAsia="仿宋_GB2312" w:cs="仿宋_GB2312"/>
          <w:color w:val="auto"/>
          <w:sz w:val="28"/>
          <w:szCs w:val="28"/>
          <w:highlight w:val="none"/>
          <w:lang w:val="en-US" w:eastAsia="zh-CN"/>
        </w:rPr>
        <w:t>在甲方区域，禁止出现无证操作、无证驾驶现象。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八、</w:t>
      </w:r>
      <w:r>
        <w:rPr>
          <w:rFonts w:hint="eastAsia" w:ascii="仿宋_GB2312" w:hAnsi="仿宋_GB2312" w:eastAsia="仿宋_GB2312" w:cs="仿宋_GB2312"/>
          <w:color w:val="auto"/>
          <w:sz w:val="28"/>
          <w:szCs w:val="28"/>
          <w:highlight w:val="none"/>
        </w:rPr>
        <w:t>所有施工机具设备和高空作业的设备均应定期检查，并有安全员的签字记录，保证其经常处于完好状态；不合格的机具、设备和劳动保护用品严禁使用</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九、</w:t>
      </w:r>
      <w:r>
        <w:rPr>
          <w:rFonts w:hint="eastAsia" w:ascii="仿宋_GB2312" w:hAnsi="仿宋_GB2312" w:eastAsia="仿宋_GB2312" w:cs="仿宋_GB2312"/>
          <w:color w:val="auto"/>
          <w:sz w:val="28"/>
          <w:szCs w:val="28"/>
          <w:highlight w:val="none"/>
        </w:rPr>
        <w:t>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w:t>
      </w:r>
      <w:r>
        <w:rPr>
          <w:rFonts w:hint="eastAsia" w:ascii="仿宋_GB2312" w:hAnsi="仿宋_GB2312" w:eastAsia="仿宋_GB2312" w:cs="仿宋_GB2312"/>
          <w:color w:val="auto"/>
          <w:sz w:val="28"/>
          <w:szCs w:val="28"/>
          <w:highlight w:val="none"/>
        </w:rPr>
        <w:t>乙方必须按照本工程项目特点，组织制定本工程实施中的生产安全事故应急救援预案；如果发生安全事故，应按照《国务院关于特大安全事故行政责任追究的规定》以及其他有关规定，及时上报有关部门，并坚持“四不放过”的原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严肃处理相关责任人。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十一</w:t>
      </w:r>
      <w:r>
        <w:rPr>
          <w:rFonts w:hint="eastAsia" w:ascii="仿宋_GB2312" w:hAnsi="仿宋_GB2312" w:eastAsia="仿宋_GB2312" w:cs="仿宋_GB2312"/>
          <w:color w:val="auto"/>
          <w:sz w:val="28"/>
          <w:szCs w:val="28"/>
          <w:highlight w:val="none"/>
        </w:rPr>
        <w:t>、乙方在履行合同过程中，必须确保</w:t>
      </w:r>
      <w:r>
        <w:rPr>
          <w:rFonts w:hint="eastAsia" w:ascii="仿宋_GB2312" w:hAnsi="仿宋_GB2312" w:eastAsia="仿宋_GB2312" w:cs="仿宋_GB2312"/>
          <w:color w:val="auto"/>
          <w:sz w:val="28"/>
          <w:szCs w:val="28"/>
          <w:highlight w:val="none"/>
          <w:lang w:val="en-US" w:eastAsia="zh-CN"/>
        </w:rPr>
        <w:t>货物</w:t>
      </w:r>
      <w:r>
        <w:rPr>
          <w:rFonts w:hint="eastAsia" w:ascii="仿宋_GB2312" w:hAnsi="仿宋_GB2312" w:eastAsia="仿宋_GB2312" w:cs="仿宋_GB2312"/>
          <w:color w:val="auto"/>
          <w:sz w:val="28"/>
          <w:szCs w:val="28"/>
          <w:highlight w:val="none"/>
        </w:rPr>
        <w:t>运输</w:t>
      </w:r>
      <w:r>
        <w:rPr>
          <w:rFonts w:hint="eastAsia" w:ascii="仿宋_GB2312" w:hAnsi="仿宋_GB2312" w:eastAsia="仿宋_GB2312" w:cs="仿宋_GB2312"/>
          <w:color w:val="auto"/>
          <w:sz w:val="28"/>
          <w:szCs w:val="28"/>
          <w:highlight w:val="none"/>
          <w:lang w:val="en-US" w:eastAsia="zh-CN"/>
        </w:rPr>
        <w:t>及安装</w:t>
      </w:r>
      <w:r>
        <w:rPr>
          <w:rFonts w:hint="eastAsia" w:ascii="仿宋_GB2312" w:hAnsi="仿宋_GB2312" w:eastAsia="仿宋_GB2312" w:cs="仿宋_GB2312"/>
          <w:color w:val="auto"/>
          <w:sz w:val="28"/>
          <w:szCs w:val="28"/>
          <w:highlight w:val="none"/>
        </w:rPr>
        <w:t>安全，如发生各类人身、财产事故，造成的一切损失均由乙方负责承担，甲方概不负责。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二</w:t>
      </w:r>
      <w:r>
        <w:rPr>
          <w:rFonts w:hint="eastAsia" w:ascii="仿宋_GB2312" w:hAnsi="仿宋_GB2312" w:eastAsia="仿宋_GB2312" w:cs="仿宋_GB2312"/>
          <w:color w:val="auto"/>
          <w:sz w:val="28"/>
          <w:szCs w:val="28"/>
          <w:highlight w:val="none"/>
        </w:rPr>
        <w:t xml:space="preserve">、争议的解决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在履行中如发生争议，双方应及时协商解决。协商不成的，任何一方均有权将</w:t>
      </w:r>
      <w:r>
        <w:rPr>
          <w:rFonts w:hint="eastAsia" w:ascii="仿宋_GB2312" w:hAnsi="仿宋_GB2312" w:eastAsia="仿宋_GB2312" w:cs="仿宋_GB2312"/>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rPr>
        <w:t>争议事项向甲方公司注册所在地人民法院提起诉讼，通过法定程序解决。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w:t>
      </w: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、本协议</w:t>
      </w:r>
      <w:r>
        <w:rPr>
          <w:rFonts w:hint="eastAsia" w:ascii="仿宋_GB2312" w:hAnsi="仿宋_GB2312" w:eastAsia="仿宋_GB2312" w:cs="仿宋_GB2312"/>
          <w:color w:val="auto"/>
          <w:sz w:val="28"/>
          <w:szCs w:val="28"/>
          <w:highlight w:val="none"/>
          <w:lang w:val="en-US" w:eastAsia="zh-CN"/>
        </w:rPr>
        <w:t>壹</w:t>
      </w:r>
      <w:r>
        <w:rPr>
          <w:rFonts w:hint="eastAsia" w:ascii="仿宋_GB2312" w:hAnsi="仿宋_GB2312" w:eastAsia="仿宋_GB2312" w:cs="仿宋_GB2312"/>
          <w:color w:val="auto"/>
          <w:sz w:val="28"/>
          <w:szCs w:val="28"/>
          <w:highlight w:val="none"/>
        </w:rPr>
        <w:t>式</w:t>
      </w:r>
      <w:r>
        <w:rPr>
          <w:rFonts w:hint="eastAsia" w:ascii="仿宋_GB2312" w:hAnsi="仿宋_GB2312" w:eastAsia="仿宋_GB2312" w:cs="仿宋_GB2312"/>
          <w:color w:val="auto"/>
          <w:sz w:val="28"/>
          <w:szCs w:val="28"/>
          <w:highlight w:val="none"/>
          <w:u w:val="single"/>
          <w:lang w:val="en-US" w:eastAsia="zh-CN"/>
        </w:rPr>
        <w:t xml:space="preserve"> 肆  </w:t>
      </w:r>
      <w:r>
        <w:rPr>
          <w:rFonts w:hint="eastAsia" w:ascii="仿宋_GB2312" w:hAnsi="仿宋_GB2312" w:eastAsia="仿宋_GB2312" w:cs="仿宋_GB2312"/>
          <w:color w:val="auto"/>
          <w:sz w:val="28"/>
          <w:szCs w:val="28"/>
          <w:highlight w:val="none"/>
        </w:rPr>
        <w:t>份，甲</w:t>
      </w:r>
      <w:r>
        <w:rPr>
          <w:rFonts w:hint="eastAsia" w:ascii="仿宋_GB2312" w:hAnsi="仿宋_GB2312" w:eastAsia="仿宋_GB2312" w:cs="仿宋_GB2312"/>
          <w:color w:val="auto"/>
          <w:sz w:val="28"/>
          <w:szCs w:val="28"/>
          <w:highlight w:val="none"/>
          <w:lang w:val="en-US" w:eastAsia="zh-CN"/>
        </w:rPr>
        <w:t xml:space="preserve">方执 </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lang w:val="en-US" w:eastAsia="zh-CN"/>
        </w:rPr>
        <w:t>份，</w:t>
      </w:r>
      <w:r>
        <w:rPr>
          <w:rFonts w:hint="eastAsia" w:ascii="仿宋_GB2312" w:hAnsi="仿宋_GB2312" w:eastAsia="仿宋_GB2312" w:cs="仿宋_GB2312"/>
          <w:color w:val="auto"/>
          <w:sz w:val="28"/>
          <w:szCs w:val="28"/>
          <w:highlight w:val="none"/>
        </w:rPr>
        <w:t>乙方执</w:t>
      </w:r>
      <w:r>
        <w:rPr>
          <w:rFonts w:hint="eastAsia" w:ascii="仿宋_GB2312" w:hAnsi="仿宋_GB2312" w:eastAsia="仿宋_GB2312" w:cs="仿宋_GB2312"/>
          <w:color w:val="auto"/>
          <w:sz w:val="28"/>
          <w:szCs w:val="28"/>
          <w:highlight w:val="none"/>
          <w:u w:val="single"/>
          <w:lang w:val="en-US" w:eastAsia="zh-CN"/>
        </w:rPr>
        <w:t xml:space="preserve">  贰  </w:t>
      </w:r>
      <w:r>
        <w:rPr>
          <w:rFonts w:hint="eastAsia" w:ascii="仿宋_GB2312" w:hAnsi="仿宋_GB2312" w:eastAsia="仿宋_GB2312" w:cs="仿宋_GB2312"/>
          <w:color w:val="auto"/>
          <w:sz w:val="28"/>
          <w:szCs w:val="28"/>
          <w:highlight w:val="none"/>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甲方（盖章）：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法定代表人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法定代表人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或授权</w:t>
      </w:r>
      <w:r>
        <w:rPr>
          <w:rFonts w:hint="eastAsia" w:ascii="仿宋_GB2312" w:hAnsi="仿宋_GB2312" w:eastAsia="仿宋_GB2312" w:cs="仿宋_GB2312"/>
          <w:color w:val="auto"/>
          <w:sz w:val="28"/>
          <w:szCs w:val="28"/>
          <w:highlight w:val="none"/>
          <w:lang w:val="en-US" w:eastAsia="zh-CN"/>
        </w:rPr>
        <w:t>委托</w:t>
      </w:r>
      <w:r>
        <w:rPr>
          <w:rFonts w:hint="eastAsia" w:ascii="仿宋_GB2312" w:hAnsi="仿宋_GB2312" w:eastAsia="仿宋_GB2312" w:cs="仿宋_GB2312"/>
          <w:color w:val="auto"/>
          <w:sz w:val="28"/>
          <w:szCs w:val="28"/>
          <w:highlight w:val="none"/>
        </w:rPr>
        <w:t>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签字</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1120" w:firstLineChars="400"/>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   月   日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auto"/>
          <w:spacing w:val="0"/>
          <w:sz w:val="28"/>
          <w:szCs w:val="28"/>
          <w:highlight w:val="none"/>
          <w:lang w:val="en-US" w:eastAsia="zh-CN"/>
        </w:rPr>
      </w:pPr>
    </w:p>
    <w:p>
      <w:pPr>
        <w:pStyle w:val="2"/>
        <w:rPr>
          <w:rFonts w:hint="eastAsia" w:ascii="仿宋_GB2312" w:hAnsi="仿宋_GB2312" w:eastAsia="仿宋_GB2312" w:cs="仿宋_GB2312"/>
          <w:color w:val="auto"/>
          <w:spacing w:val="0"/>
          <w:sz w:val="28"/>
          <w:szCs w:val="28"/>
          <w:highlight w:val="none"/>
          <w:lang w:val="en-US" w:eastAsia="zh-CN"/>
        </w:rPr>
      </w:pPr>
    </w:p>
    <w:p>
      <w:pPr>
        <w:pStyle w:val="3"/>
        <w:rPr>
          <w:rFonts w:hint="eastAsia" w:ascii="仿宋_GB2312" w:hAnsi="仿宋_GB2312" w:eastAsia="仿宋_GB2312" w:cs="仿宋_GB2312"/>
          <w:color w:val="auto"/>
          <w:spacing w:val="0"/>
          <w:sz w:val="28"/>
          <w:szCs w:val="28"/>
          <w:highlight w:val="none"/>
          <w:lang w:val="en-US" w:eastAsia="zh-CN"/>
        </w:rPr>
      </w:pPr>
    </w:p>
    <w:p>
      <w:pPr>
        <w:pStyle w:val="4"/>
        <w:rPr>
          <w:rFonts w:hint="eastAsia"/>
          <w:highlight w:val="none"/>
          <w:lang w:val="en-US" w:eastAsia="zh-CN"/>
        </w:rPr>
      </w:pPr>
    </w:p>
    <w:p>
      <w:pPr>
        <w:pStyle w:val="20"/>
        <w:keepNext w:val="0"/>
        <w:keepLines w:val="0"/>
        <w:pageBreakBefore w:val="0"/>
        <w:kinsoku/>
        <w:wordWrap/>
        <w:overflowPunct/>
        <w:topLinePunct w:val="0"/>
        <w:autoSpaceDE/>
        <w:autoSpaceDN/>
        <w:bidi w:val="0"/>
        <w:adjustRightInd/>
        <w:snapToGrid/>
        <w:spacing w:line="560" w:lineRule="exact"/>
        <w:ind w:left="0" w:firstLine="0" w:firstLineChars="0"/>
        <w:jc w:val="both"/>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rPr>
        <w:t>附件</w:t>
      </w:r>
      <w:r>
        <w:rPr>
          <w:rFonts w:hint="eastAsia" w:ascii="仿宋_GB2312" w:hAnsi="仿宋_GB2312" w:eastAsia="仿宋_GB2312" w:cs="仿宋_GB2312"/>
          <w:b/>
          <w:color w:val="auto"/>
          <w:sz w:val="28"/>
          <w:szCs w:val="28"/>
          <w:highlight w:val="none"/>
          <w:lang w:val="en-US" w:eastAsia="zh-CN"/>
        </w:rPr>
        <w:t>三</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b/>
          <w:color w:val="auto"/>
          <w:sz w:val="28"/>
          <w:szCs w:val="28"/>
          <w:highlight w:val="none"/>
          <w:lang w:val="en-US" w:eastAsia="zh-CN"/>
        </w:rPr>
        <w:t xml:space="preserve">                 </w:t>
      </w:r>
    </w:p>
    <w:p>
      <w:pPr>
        <w:pStyle w:val="20"/>
        <w:keepNext w:val="0"/>
        <w:keepLines w:val="0"/>
        <w:pageBreakBefore w:val="0"/>
        <w:kinsoku/>
        <w:wordWrap/>
        <w:overflowPunct/>
        <w:topLinePunct w:val="0"/>
        <w:autoSpaceDE/>
        <w:autoSpaceDN/>
        <w:bidi w:val="0"/>
        <w:adjustRightInd/>
        <w:snapToGrid/>
        <w:spacing w:line="560" w:lineRule="exact"/>
        <w:ind w:left="0" w:firstLine="0" w:firstLineChars="0"/>
        <w:jc w:val="center"/>
        <w:rPr>
          <w:rFonts w:hint="eastAsia" w:eastAsiaTheme="minorEastAsia"/>
          <w:color w:val="auto"/>
          <w:highlight w:val="none"/>
          <w:lang w:val="en-US" w:eastAsia="zh-CN"/>
        </w:rPr>
      </w:pPr>
      <w:r>
        <w:rPr>
          <w:rFonts w:hint="eastAsia" w:ascii="方正小标宋简体" w:hAnsi="方正小标宋简体" w:eastAsia="方正小标宋简体" w:cs="方正小标宋简体"/>
          <w:b/>
          <w:color w:val="auto"/>
          <w:sz w:val="44"/>
          <w:szCs w:val="44"/>
          <w:highlight w:val="none"/>
          <w:lang w:val="en-US" w:eastAsia="zh-CN"/>
        </w:rPr>
        <w:t>报价清单</w:t>
      </w:r>
    </w:p>
    <w:p>
      <w:pPr>
        <w:keepNext w:val="0"/>
        <w:keepLines w:val="0"/>
        <w:pageBreakBefore w:val="0"/>
        <w:kinsoku/>
        <w:wordWrap/>
        <w:overflowPunct/>
        <w:topLinePunct w:val="0"/>
        <w:autoSpaceDE/>
        <w:autoSpaceDN/>
        <w:bidi w:val="0"/>
        <w:adjustRightInd/>
        <w:snapToGrid/>
        <w:spacing w:line="560" w:lineRule="exact"/>
        <w:ind w:firstLine="420" w:firstLineChars="200"/>
        <w:jc w:val="both"/>
        <w:rPr>
          <w:rFonts w:hint="default"/>
          <w:color w:val="auto"/>
          <w:highlight w:val="none"/>
          <w:lang w:val="en-US" w:eastAsia="zh-CN"/>
        </w:rPr>
      </w:pPr>
    </w:p>
    <w:bookmarkEnd w:id="62"/>
    <w:p>
      <w:pPr>
        <w:pStyle w:val="15"/>
        <w:rPr>
          <w:rFonts w:hint="eastAsia" w:ascii="方正小标宋简体" w:hAnsi="方正小标宋简体" w:eastAsia="方正小标宋简体" w:cs="方正小标宋简体"/>
          <w:b/>
          <w:color w:val="auto"/>
          <w:sz w:val="44"/>
          <w:szCs w:val="44"/>
          <w:highlight w:val="none"/>
          <w:lang w:val="en-US" w:eastAsia="zh-CN"/>
        </w:rPr>
        <w:sectPr>
          <w:headerReference r:id="rId13" w:type="default"/>
          <w:footerReference r:id="rId14"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pStyle w:val="5"/>
        <w:numPr>
          <w:ilvl w:val="255"/>
          <w:numId w:val="0"/>
        </w:numPr>
        <w:spacing w:before="312" w:after="312"/>
        <w:ind w:left="402"/>
        <w:jc w:val="center"/>
        <w:rPr>
          <w:rFonts w:hint="default" w:ascii="Times New Roman" w:hAnsi="Times New Roman" w:eastAsia="宋体" w:cs="Times New Roman"/>
          <w:highlight w:val="none"/>
          <w:lang w:val="en-US" w:eastAsia="zh-CN"/>
        </w:rPr>
      </w:pPr>
      <w:bookmarkStart w:id="63" w:name="_Toc21020"/>
      <w:r>
        <w:rPr>
          <w:rFonts w:hint="eastAsia" w:ascii="Times New Roman" w:hAnsi="Times New Roman" w:eastAsia="宋体" w:cs="Times New Roman"/>
          <w:highlight w:val="none"/>
          <w:lang w:val="en-US" w:eastAsia="zh-CN"/>
        </w:rPr>
        <w:t xml:space="preserve">第五章 </w:t>
      </w:r>
      <w:r>
        <w:rPr>
          <w:rFonts w:hint="eastAsia" w:ascii="Times New Roman" w:hAnsi="Times New Roman" w:eastAsia="宋体" w:cs="Times New Roman"/>
          <w:highlight w:val="none"/>
          <w:lang w:eastAsia="zh-CN"/>
        </w:rPr>
        <w:t>工程量清单</w:t>
      </w:r>
      <w:bookmarkEnd w:id="63"/>
    </w:p>
    <w:p>
      <w:pPr>
        <w:spacing w:line="360" w:lineRule="auto"/>
        <w:jc w:val="cente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安徽交控集团2023年度服务区综合改造提升工程（EPC）项目卫生间隔断采购项目报价单</w:t>
      </w:r>
    </w:p>
    <w:tbl>
      <w:tblPr>
        <w:tblStyle w:val="21"/>
        <w:tblW w:w="128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7"/>
        <w:gridCol w:w="1187"/>
        <w:gridCol w:w="7170"/>
        <w:gridCol w:w="696"/>
        <w:gridCol w:w="954"/>
        <w:gridCol w:w="1113"/>
        <w:gridCol w:w="1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2888"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卫生间隔断报价单（含安装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小便器成品隔断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720.42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蹲坑成品隔断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1、部位：蹲坑隔断2、隔断材料：20mm木纹铝蜂窝板,钢板厚0.8mm，总厚度20mm成品隔断3、规格、尺寸：高2200mm4、防火等级：A级 5、材质：优等钢板、铝合金6、表面处理：花纹可定制 7、含隔断板上下黑钛金不锈钢饰面，含所有五金配件及不锈钢挂钩8、颜色：男卫生间隔断门（浅蓝色铝蜂窝板），女卫生间隔断门（粉色铝蜂窝板，卫生间隔断（浅灰色铝蜂窝板）9、具体详见现场、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4813.58</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成品抗倍特板隔断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1、部位：卫生间成品隔断（含配件及不锈钢挂钩）2、成品抗倍特板隔断3、具体详见现场、图纸、图集、招标文件、招标文件补遗、政府相关文件、规范等其它资料，满足验收及使用要求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470.15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eastAsia="宋体" w:cs="Arial"/>
                <w:i w:val="0"/>
                <w:iCs w:val="0"/>
                <w:color w:val="000000"/>
                <w:kern w:val="0"/>
                <w:sz w:val="20"/>
                <w:szCs w:val="20"/>
                <w:highlight w:val="none"/>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不锈钢手机置物架</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优等不锈钢材质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500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eastAsia="宋体" w:cs="Arial"/>
                <w:i w:val="0"/>
                <w:iCs w:val="0"/>
                <w:color w:val="000000"/>
                <w:kern w:val="0"/>
                <w:sz w:val="20"/>
                <w:szCs w:val="20"/>
                <w:highlight w:val="none"/>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r>
    </w:tbl>
    <w:p>
      <w:pPr>
        <w:pStyle w:val="15"/>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440" w:firstLineChars="200"/>
        <w:jc w:val="both"/>
        <w:textAlignment w:val="auto"/>
        <w:rPr>
          <w:rStyle w:val="42"/>
          <w:rFonts w:hint="default" w:asciiTheme="minorEastAsia" w:hAnsiTheme="minorEastAsia" w:eastAsiaTheme="minorEastAsia" w:cstheme="minorEastAsia"/>
          <w:b/>
          <w:bCs/>
          <w:kern w:val="2"/>
          <w:highlight w:val="none"/>
          <w:lang w:val="en-US" w:eastAsia="zh-CN" w:bidi="ar"/>
        </w:rPr>
      </w:pPr>
      <w:r>
        <w:rPr>
          <w:rStyle w:val="42"/>
          <w:rFonts w:hint="eastAsia" w:asciiTheme="minorEastAsia" w:hAnsiTheme="minorEastAsia" w:eastAsiaTheme="minorEastAsia" w:cstheme="minorEastAsia"/>
          <w:b/>
          <w:bCs/>
          <w:kern w:val="2"/>
          <w:highlight w:val="none"/>
          <w:lang w:val="en-US" w:eastAsia="zh-CN" w:bidi="ar"/>
        </w:rPr>
        <w:t>备注：单价为综合单价系货物到达甲方指定交货地点的一切费用</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包含材料的成本</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含辅材</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、利润、税费</w:t>
      </w:r>
      <w:r>
        <w:rPr>
          <w:rStyle w:val="42"/>
          <w:rFonts w:hint="eastAsia" w:asciiTheme="minorEastAsia" w:hAnsiTheme="minorEastAsia" w:cstheme="minorEastAsia"/>
          <w:b/>
          <w:bCs/>
          <w:kern w:val="2"/>
          <w:highlight w:val="none"/>
          <w:lang w:val="en-US" w:eastAsia="zh-CN" w:bidi="ar"/>
        </w:rPr>
        <w:t>（13%增值税）</w:t>
      </w:r>
      <w:r>
        <w:rPr>
          <w:rStyle w:val="42"/>
          <w:rFonts w:hint="eastAsia" w:asciiTheme="minorEastAsia" w:hAnsiTheme="minorEastAsia" w:eastAsiaTheme="minorEastAsia" w:cstheme="minorEastAsia"/>
          <w:b/>
          <w:bCs/>
          <w:kern w:val="2"/>
          <w:highlight w:val="none"/>
          <w:lang w:val="en-US" w:eastAsia="zh-CN" w:bidi="ar"/>
        </w:rPr>
        <w:t>、运输费、损耗费、装卸</w:t>
      </w:r>
      <w:r>
        <w:rPr>
          <w:rStyle w:val="42"/>
          <w:rFonts w:hint="eastAsia" w:asciiTheme="minorEastAsia" w:hAnsiTheme="minorEastAsia" w:cstheme="minorEastAsia"/>
          <w:b/>
          <w:bCs/>
          <w:kern w:val="2"/>
          <w:highlight w:val="none"/>
          <w:lang w:val="en-US" w:eastAsia="zh-CN" w:bidi="ar"/>
        </w:rPr>
        <w:t>费</w:t>
      </w:r>
      <w:r>
        <w:rPr>
          <w:rStyle w:val="42"/>
          <w:rFonts w:hint="eastAsia" w:asciiTheme="minorEastAsia" w:hAnsiTheme="minorEastAsia" w:eastAsiaTheme="minorEastAsia" w:cstheme="minorEastAsia"/>
          <w:b/>
          <w:bCs/>
          <w:kern w:val="2"/>
          <w:highlight w:val="none"/>
          <w:lang w:val="en-US" w:eastAsia="zh-CN" w:bidi="ar"/>
        </w:rPr>
        <w:t>、检测费</w:t>
      </w:r>
      <w:r>
        <w:rPr>
          <w:rStyle w:val="42"/>
          <w:rFonts w:hint="eastAsia" w:asciiTheme="minorEastAsia" w:hAnsiTheme="minorEastAsia" w:cstheme="minorEastAsia"/>
          <w:b/>
          <w:bCs/>
          <w:kern w:val="2"/>
          <w:highlight w:val="none"/>
          <w:lang w:val="en-US" w:eastAsia="zh-CN" w:bidi="ar"/>
        </w:rPr>
        <w:t>（二次检测）</w:t>
      </w:r>
      <w:r>
        <w:rPr>
          <w:rStyle w:val="42"/>
          <w:rFonts w:hint="eastAsia" w:asciiTheme="minorEastAsia" w:hAnsiTheme="minorEastAsia" w:eastAsiaTheme="minorEastAsia" w:cstheme="minorEastAsia"/>
          <w:b/>
          <w:bCs/>
          <w:kern w:val="2"/>
          <w:highlight w:val="none"/>
          <w:lang w:val="en-US" w:eastAsia="zh-CN" w:bidi="ar"/>
        </w:rPr>
        <w:t>、安装调试、技术服务、商业保险费、验收费等为履行本合同义务所需的一切费用及承担的风险，为固定单价。</w:t>
      </w:r>
    </w:p>
    <w:p>
      <w:pPr>
        <w:rPr>
          <w:highlight w:val="none"/>
        </w:rPr>
      </w:pPr>
    </w:p>
    <w:p>
      <w:pPr>
        <w:rPr>
          <w:highlight w:val="none"/>
        </w:rPr>
      </w:pPr>
      <w:r>
        <w:rPr>
          <w:highlight w:val="none"/>
        </w:rPr>
        <w:br w:type="page"/>
      </w:r>
    </w:p>
    <w:p>
      <w:pPr>
        <w:pStyle w:val="19"/>
        <w:ind w:left="279" w:leftChars="133" w:firstLine="0" w:firstLineChars="0"/>
        <w:jc w:val="center"/>
        <w:rPr>
          <w:rFonts w:hint="default"/>
          <w:highlight w:val="none"/>
          <w:lang w:val="en-US" w:eastAsia="zh-CN"/>
        </w:rPr>
      </w:pPr>
      <w:r>
        <w:rPr>
          <w:rFonts w:hint="eastAsia" w:ascii="宋体" w:hAnsi="宋体" w:eastAsia="宋体" w:cs="宋体"/>
          <w:b/>
          <w:bCs w:val="0"/>
          <w:sz w:val="28"/>
          <w:szCs w:val="28"/>
          <w:highlight w:val="none"/>
          <w:lang w:val="en-US" w:eastAsia="zh-CN"/>
        </w:rPr>
        <w:t>安徽交控集团2023年度服务区综合改造提升工程（EPC）项目卫生间隔断采购项目清单</w:t>
      </w:r>
    </w:p>
    <w:tbl>
      <w:tblPr>
        <w:tblStyle w:val="21"/>
        <w:tblW w:w="13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5"/>
        <w:gridCol w:w="1125"/>
        <w:gridCol w:w="1089"/>
        <w:gridCol w:w="1089"/>
        <w:gridCol w:w="8046"/>
        <w:gridCol w:w="776"/>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1382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卫生间隔断清单（含安装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服务区</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单项工程</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大龙山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大龙山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1、隔断材料品种、规格、颜色：20mm木纹铝蜂窝板成品隔断2、备注：含五金配件3、具体详见现场、图纸、图集、招标文件、招标文件补遗、政府相关文件、规范等其它资料，满足验收及使用要求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仓镇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成品蜂窝铝板隔断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小便池处2、隔断材料品种、规格、颜色：与原隔断保持一致3、配件品种、规格：蜂窝铝板4、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香泉</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1、隔断材料品种、规格、颜色：20mm木纹铝蜂窝板成品隔断2、备注：含五金配件3、具体详见现场、图纸、图集、招标文件、招标文件补遗、政府相关文件、规范等其它资料，满足验收及使用要求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天堂寨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1、部位：南区公厕小便器隔断2、隔断材料：钢板厚0.8mm，总厚度20mm木纹铝蜂窝板成品隔断3、规格、尺寸：800mm*400mm4、防火等级：A级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天堂寨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1、部位：南区公厕隔断2、隔断材料：钢板厚0.8mm，总厚度20mm木纹铝蜂窝板成品隔断3、规格、尺寸：2000mm*1600mm4、防火等级：A级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花园</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1、部位：西区公厕小便器隔断2、隔断材料：钢板厚0.8mm，总厚度20mm木纹铝蜂窝板成品隔断3、规格、尺寸：800mm*400mm4、防火等级：A级5、材质：优等钢板、铝合金6、表面处理：花纹可定制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马衙</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1、部位：北区公厕小便器隔断2、隔断材料：钢板厚0.8mm，总厚度20mm木纹铝蜂窝板成品隔断3、规格、尺寸：800mm*400mm4、防火等级：A级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2"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马衙</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升金湖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1、部位：西区公厕小便器隔断2、隔断材料：钢板厚0.8mm，总厚度20mm木纹铝蜂窝板成品隔断3、规格、尺寸：800mm*400mm4、防火等级：A级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1"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升金湖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1、部位：东区公厕小便器隔断2、隔断材料：钢板厚0.8mm，总厚度20mm木纹铝蜂窝板成品隔断3、规格、尺寸：800mm*400mm4、防火等级：A级5、材质：优等钢板、铝合金6、表面处理：花纹可定制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岳西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1、部位：公厕小便器隔断2、隔断材料：20mm木纹铝蜂窝板,钢板厚0.8mm，总厚度20mm成品隔断3、规格、尺寸：800mm*400mm4、防火等级：A级 5、材质：优等钢板、铝合金6、表面处理：花纹可定制 7、含所有五金配件8、颜色：男卫生间隔断（仿木纹铝蜂窝板）9、具体详见现场、图集、招标文件、招标文件补遗、政府相关文件、规范等其它资料，满足验收及使用要求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岳西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1、部位：蹲坑隔断2、隔断材料：20mm木纹铝蜂窝板,钢板厚0.8mm，总厚度20mm成品隔断3、规格、尺寸：高2200mm4、防火等级：A级   5、材质：优等钢板、铝合金6、表面处理：花纹可定制 7、含隔断板上下黑钛金不锈钢饰面，含所有五金配件8、颜色：男卫生间隔断门（浅蓝色铝蜂窝板），女卫生间隔断门（粉色铝蜂窝板，卫生间隔断（浅灰色铝蜂窝板）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岳西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1、部位：公厕小便器隔断2、隔断材料：20mm木纹铝蜂窝板,钢板厚0.8mm，总厚度20mm成品隔断3、规格、尺寸：800mm*400mm4、防火等级：A级   5、材质：优等钢板、铝合金6、表面处理：花纹可定制 7、含所有五金配件8、颜色：男卫生间隔断（仿木纹铝蜂窝板）9、具体详见现场、图集、招标文件、招标文件补遗、政府相关文件、规范等其它资料，满足验收及使用要求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岳西</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1、部位：蹲坑隔断2、隔断材料：20mm木纹铝蜂窝板,钢板厚0.8mm，总厚度20mm成品隔断3、规格、尺寸：高2200mm4、防火等级：A级   5、材质：优等钢板、铝合金6、表面处理：花纹可定制 7、含隔断板上下黑钛金不锈钢饰面，含所有五金配件8、颜色：男卫生间隔断门（浅蓝色铝蜂窝板），女卫生间隔断门（粉色铝蜂窝板，卫生间隔断（浅灰色铝蜂窝板）</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9、具体详见现场、图集、招标文件、招标文件补遗、政府相关文件、规范等其它资料，满足验收及使用要求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公岭</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牯牛降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小便池隔断2、隔断材料品种、规格、颜色：20mm木纹铝蜂窝板成品隔断3、备注：含五金配件4、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9"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牯牛降</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小便池隔断2、隔断材料品种、规格、颜色：20mm木纹铝蜂窝板成品隔断3、备注：含五金配件4、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郎溪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郎溪</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月湾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月湾</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南漪湖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南漪湖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小便池隔断2、隔断材料品种、规格、颜色：20mm木纹铝蜂窝板成品隔断3、备注：含五金配件4、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杜集</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1、部位：卫生间成品隔断（含配件）2、成品抗倍特板隔断3、具体详见现场、图纸、图集、招标文件、招标文件补遗、政府相关文件、规范等其它资料，满足验收及使用要求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凤台</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冯庙</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冯庙</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环品提升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1、部位：东、西区综合楼二楼男女卫生间2、隔断材料：钢板厚0.8mm，总厚度20mm木纹铝蜂窝板成品隔断3、规格、尺寸：2000mm*1700mm4、防火等级：A级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石龙湖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1、隔板材料品种、规格、品牌、颜色:  20mm浅灰色铝蜂窝板隔断2、部位：浴室</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54.380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石龙湖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优化提升</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1、隔板材料品种、规格、品牌、颜色:  20mm铝蜂窝板2、部位：男女公厕</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蟠龙山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1、部位：南北区公厕小便器隔断2、隔断材料：钢板厚0.8mm，总厚度20mm木纹铝蜂窝板成品隔断3、规格、尺寸：800mm*400mm4、防火等级：A级   5、材质：优等钢板、铝合金6、表面处理：花纹可定制 7、含所有五金配件8、具体详见现场、图集、招标文件、招标文件补遗、政府相关文件、规范等其它资料，满足验收及使用要求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蟠龙山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1、部位：南北区公厕隔断2、隔断材料：钢板厚0.8mm，总厚度20mm木纹铝蜂窝板成品隔断3、规格、尺寸：2000mm*1600mm4、防火等级：A级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947.600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lang w:val="en-US"/>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砀山</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1、部位：东西区女公厕隔断2、隔断材料：钢板厚0.8mm，总厚度20mm木纹铝蜂窝板成品隔断3、规格、尺寸：800mm*400mm4、防火等级：A级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王寨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王寨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1、部位：南北区老公厕隔断2、隔断材料：钢板厚0.8mm，总厚度20mm木纹铝蜂窝板成品隔断3、规格、尺寸：2000mm*1700mm4、防火等级：A级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王寨</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1、部位：南北区新公厕隔断2、隔断材料：钢板厚0.8mm，总厚度20mm木纹铝蜂窝板成品隔断3、规格、尺寸：2000mm*1700mm4、防火等级：A级 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四方湖</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1、部位：南北区公厕小便器隔断2、隔断材料品种、规格、颜色：20mm木纹铝蜂窝板成品隔断3、规格、尺寸：800mm*400mm4、备注：含五金配件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r>
              <w:rPr>
                <w:rFonts w:hint="eastAsia" w:ascii="Arial" w:hAnsi="Arial" w:eastAsia="宋体" w:cs="Arial"/>
                <w:i w:val="0"/>
                <w:iCs w:val="0"/>
                <w:color w:val="000000"/>
                <w:kern w:val="0"/>
                <w:sz w:val="20"/>
                <w:szCs w:val="20"/>
                <w:highlight w:val="none"/>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蒙城</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39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石弓</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厕所革命</w:t>
            </w:r>
          </w:p>
        </w:tc>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成品隔断</w:t>
            </w:r>
          </w:p>
        </w:tc>
        <w:tc>
          <w:tcPr>
            <w:tcW w:w="80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1、部位：东西区公厕小便器隔断2、隔断材料：钢板厚0.8mm，总厚度20mm木纹铝蜂窝板成品隔断3、规格、尺寸：800mm*400mm4、防火等级：A级5、材质：优等钢板、铝合金6、表面处理：花纹可定制 7、含所有五金配件</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8、具体详见现场、图纸、图集、招标文件、招标文件补遗、政府相关文件、规范等其它资料，满足验收及使用要求</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11.520 </w:t>
            </w:r>
          </w:p>
        </w:tc>
      </w:tr>
    </w:tbl>
    <w:p>
      <w:pPr>
        <w:rPr>
          <w:highlight w:val="none"/>
        </w:rPr>
        <w:sectPr>
          <w:footnotePr>
            <w:numFmt w:val="decimalEnclosedCircleChinese"/>
          </w:footnotePr>
          <w:pgSz w:w="16838" w:h="11906" w:orient="landscape"/>
          <w:pgMar w:top="1797" w:right="1440" w:bottom="1797" w:left="1440" w:header="851" w:footer="992" w:gutter="0"/>
          <w:pgNumType w:fmt="decimal"/>
          <w:cols w:space="720" w:num="1"/>
          <w:docGrid w:type="linesAndChars" w:linePitch="312" w:charSpace="0"/>
        </w:sectPr>
      </w:pPr>
    </w:p>
    <w:p>
      <w:pPr>
        <w:pStyle w:val="5"/>
        <w:numPr>
          <w:ilvl w:val="255"/>
          <w:numId w:val="0"/>
        </w:numPr>
        <w:spacing w:before="312" w:after="312"/>
        <w:jc w:val="center"/>
        <w:rPr>
          <w:rFonts w:hint="eastAsia" w:ascii="Times New Roman" w:hAnsi="Times New Roman" w:eastAsia="宋体" w:cs="Times New Roman"/>
          <w:highlight w:val="none"/>
          <w:lang w:val="en-US" w:eastAsia="zh-CN"/>
        </w:rPr>
      </w:pPr>
      <w:bookmarkStart w:id="64" w:name="_Toc29179"/>
      <w:r>
        <w:rPr>
          <w:rFonts w:hint="eastAsia" w:ascii="Times New Roman" w:hAnsi="Times New Roman" w:eastAsia="宋体" w:cs="Times New Roman"/>
          <w:highlight w:val="none"/>
          <w:lang w:val="en-US" w:eastAsia="zh-CN"/>
        </w:rPr>
        <w:t>第六章 响应文件格式</w:t>
      </w:r>
      <w:bookmarkEnd w:id="64"/>
    </w:p>
    <w:p>
      <w:pPr>
        <w:jc w:val="center"/>
        <w:rPr>
          <w:rFonts w:ascii="Times New Roman" w:hAnsi="Times New Roman" w:eastAsia="黑体" w:cs="Times New Roman"/>
          <w:sz w:val="36"/>
          <w:szCs w:val="36"/>
          <w:highlight w:val="none"/>
        </w:rPr>
      </w:pPr>
      <w:r>
        <w:rPr>
          <w:rFonts w:ascii="Times New Roman" w:hAnsi="Times New Roman" w:eastAsia="宋体" w:cs="Times New Roman"/>
          <w:highlight w:val="none"/>
        </w:rPr>
        <w:br w:type="page"/>
      </w:r>
      <w:r>
        <w:rPr>
          <w:rFonts w:hint="eastAsia" w:ascii="宋体" w:hAnsi="宋体" w:eastAsia="宋体" w:cs="宋体"/>
          <w:b/>
          <w:bCs/>
          <w:kern w:val="0"/>
          <w:sz w:val="36"/>
          <w:szCs w:val="36"/>
          <w:highlight w:val="none"/>
          <w:u w:val="single"/>
          <w:lang w:val="en-US" w:eastAsia="zh-CN"/>
        </w:rPr>
        <w:t xml:space="preserve">                                </w:t>
      </w:r>
      <w:r>
        <w:rPr>
          <w:rFonts w:hint="eastAsia" w:ascii="宋体" w:hAnsi="宋体" w:eastAsia="宋体" w:cs="宋体"/>
          <w:b/>
          <w:bCs/>
          <w:kern w:val="0"/>
          <w:sz w:val="36"/>
          <w:szCs w:val="36"/>
          <w:highlight w:val="none"/>
          <w:u w:val="none"/>
          <w:lang w:val="en-US" w:eastAsia="zh-CN"/>
        </w:rPr>
        <w:t>项目</w:t>
      </w:r>
      <w:r>
        <w:rPr>
          <w:rFonts w:ascii="Times New Roman" w:hAnsi="Times New Roman" w:eastAsia="黑体" w:cs="Times New Roman"/>
          <w:sz w:val="36"/>
          <w:szCs w:val="36"/>
          <w:highlight w:val="none"/>
        </w:rPr>
        <w:t>询比</w:t>
      </w:r>
    </w:p>
    <w:p>
      <w:pPr>
        <w:spacing w:line="440" w:lineRule="exact"/>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t xml:space="preserve"> </w:t>
      </w:r>
    </w:p>
    <w:p>
      <w:pPr>
        <w:spacing w:line="440" w:lineRule="exact"/>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jc w:val="center"/>
        <w:rPr>
          <w:rFonts w:ascii="Times New Roman" w:hAnsi="Times New Roman" w:eastAsia="黑体" w:cs="Times New Roman"/>
          <w:sz w:val="50"/>
          <w:szCs w:val="50"/>
          <w:highlight w:val="none"/>
        </w:rPr>
      </w:pPr>
      <w:bookmarkStart w:id="65" w:name="_Toc29687_WPSOffice_Level1"/>
      <w:bookmarkStart w:id="66" w:name="_Toc32044_WPSOffice_Level1"/>
      <w:bookmarkStart w:id="67" w:name="_Toc1914_WPSOffice_Level1"/>
      <w:bookmarkStart w:id="68" w:name="_Toc10484_WPSOffice_Level1"/>
      <w:bookmarkStart w:id="69" w:name="_Toc17394_WPSOffice_Level1"/>
      <w:r>
        <w:rPr>
          <w:rFonts w:ascii="Times New Roman" w:hAnsi="Times New Roman" w:eastAsia="黑体" w:cs="Times New Roman"/>
          <w:sz w:val="50"/>
          <w:szCs w:val="50"/>
          <w:highlight w:val="none"/>
        </w:rPr>
        <w:t>响  应  文  件</w:t>
      </w:r>
      <w:bookmarkEnd w:id="65"/>
      <w:bookmarkEnd w:id="66"/>
      <w:bookmarkEnd w:id="67"/>
      <w:bookmarkEnd w:id="68"/>
      <w:bookmarkEnd w:id="69"/>
    </w:p>
    <w:p>
      <w:pPr>
        <w:pStyle w:val="20"/>
        <w:ind w:firstLine="2560" w:firstLineChars="800"/>
        <w:jc w:val="both"/>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（商务及技术文件）</w:t>
      </w: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8"/>
          <w:szCs w:val="28"/>
          <w:highlight w:val="none"/>
        </w:rPr>
      </w:pPr>
      <w:bookmarkStart w:id="70" w:name="_Toc5520_WPSOffice_Level2"/>
      <w:bookmarkStart w:id="71" w:name="_Toc25232_WPSOffice_Level2"/>
      <w:r>
        <w:rPr>
          <w:rFonts w:hint="eastAsia" w:ascii="Times New Roman" w:hAnsi="Times New Roman" w:eastAsia="黑体" w:cs="Times New Roman"/>
          <w:sz w:val="28"/>
          <w:szCs w:val="28"/>
          <w:highlight w:val="none"/>
          <w:lang w:val="en-US" w:eastAsia="zh-CN"/>
        </w:rPr>
        <w:t xml:space="preserve">     </w:t>
      </w:r>
      <w:r>
        <w:rPr>
          <w:rFonts w:ascii="Times New Roman" w:hAnsi="Times New Roman" w:eastAsia="黑体" w:cs="Times New Roman"/>
          <w:sz w:val="28"/>
          <w:szCs w:val="28"/>
          <w:highlight w:val="none"/>
        </w:rPr>
        <w:t>供应商：</w:t>
      </w:r>
      <w:r>
        <w:rPr>
          <w:rFonts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r>
        <w:rPr>
          <w:rFonts w:ascii="Times New Roman" w:hAnsi="Times New Roman" w:eastAsia="黑体" w:cs="Times New Roman"/>
          <w:sz w:val="28"/>
          <w:szCs w:val="28"/>
          <w:highlight w:val="none"/>
          <w:u w:val="single"/>
        </w:rPr>
        <w:t xml:space="preserve"> (全称、盖单位章)</w:t>
      </w:r>
      <w:bookmarkEnd w:id="70"/>
      <w:bookmarkEnd w:id="71"/>
      <w:r>
        <w:rPr>
          <w:rFonts w:ascii="Times New Roman" w:hAnsi="Times New Roman" w:eastAsia="黑体" w:cs="Times New Roman"/>
          <w:sz w:val="28"/>
          <w:szCs w:val="28"/>
          <w:highlight w:val="none"/>
          <w:u w:val="single"/>
        </w:rPr>
        <w:t xml:space="preserve"> </w:t>
      </w:r>
    </w:p>
    <w:p>
      <w:pPr>
        <w:spacing w:line="440" w:lineRule="exact"/>
        <w:ind w:firstLine="2158" w:firstLineChars="771"/>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u w:val="none"/>
          <w:lang w:val="en-US" w:eastAsia="zh-CN"/>
        </w:rPr>
        <w:t xml:space="preserve">          </w:t>
      </w:r>
      <w:r>
        <w:rPr>
          <w:rFonts w:ascii="Times New Roman" w:hAnsi="Times New Roman" w:eastAsia="黑体" w:cs="Times New Roman"/>
          <w:sz w:val="28"/>
          <w:szCs w:val="28"/>
          <w:highlight w:val="none"/>
          <w:u w:val="single"/>
        </w:rPr>
        <w:t xml:space="preserve">       </w:t>
      </w:r>
      <w:bookmarkStart w:id="72" w:name="_Toc20076_WPSOffice_Level2"/>
      <w:bookmarkStart w:id="73" w:name="_Toc31577_WPSOffice_Level2"/>
      <w:r>
        <w:rPr>
          <w:rFonts w:ascii="Times New Roman" w:hAnsi="Times New Roman" w:eastAsia="黑体" w:cs="Times New Roman"/>
          <w:sz w:val="28"/>
          <w:szCs w:val="28"/>
          <w:highlight w:val="none"/>
        </w:rPr>
        <w:t>年</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月</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日</w:t>
      </w:r>
      <w:bookmarkEnd w:id="72"/>
      <w:bookmarkEnd w:id="73"/>
    </w:p>
    <w:p>
      <w:pPr>
        <w:spacing w:line="440" w:lineRule="exact"/>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bookmarkStart w:id="74" w:name="_Toc21974_WPSOffice_Level2"/>
      <w:bookmarkStart w:id="75" w:name="_Toc22351_WPSOffice_Level2"/>
      <w:r>
        <w:rPr>
          <w:rFonts w:ascii="Times New Roman" w:hAnsi="Times New Roman" w:eastAsia="黑体" w:cs="Times New Roman"/>
          <w:sz w:val="28"/>
          <w:szCs w:val="28"/>
          <w:highlight w:val="none"/>
        </w:rPr>
        <w:t>目     录</w:t>
      </w:r>
      <w:bookmarkEnd w:id="74"/>
      <w:bookmarkEnd w:id="75"/>
    </w:p>
    <w:p>
      <w:pPr>
        <w:spacing w:line="440" w:lineRule="exact"/>
        <w:rPr>
          <w:rFonts w:ascii="Times New Roman" w:hAnsi="Times New Roman" w:eastAsia="黑体" w:cs="Times New Roman"/>
          <w:sz w:val="20"/>
          <w:szCs w:val="20"/>
          <w:highlight w:val="none"/>
        </w:rPr>
      </w:pPr>
    </w:p>
    <w:p>
      <w:pPr>
        <w:spacing w:line="440" w:lineRule="exact"/>
        <w:ind w:left="1619" w:leftChars="771"/>
        <w:rPr>
          <w:rFonts w:ascii="Times New Roman" w:hAnsi="Times New Roman" w:eastAsia="黑体" w:cs="Times New Roman"/>
          <w:sz w:val="24"/>
          <w:highlight w:val="none"/>
        </w:rPr>
      </w:pPr>
      <w:bookmarkStart w:id="76" w:name="_Toc23368_WPSOffice_Level1"/>
      <w:bookmarkStart w:id="77" w:name="_Toc5842_WPSOffice_Level1"/>
      <w:bookmarkStart w:id="78" w:name="_Toc6353_WPSOffice_Level1"/>
      <w:bookmarkStart w:id="79" w:name="_Toc11424_WPSOffice_Level1"/>
      <w:bookmarkStart w:id="80" w:name="_Toc30529_WPSOffice_Level1"/>
      <w:bookmarkStart w:id="81" w:name="_Toc12670_WPSOffice_Level1"/>
      <w:r>
        <w:rPr>
          <w:rFonts w:ascii="Times New Roman" w:hAnsi="Times New Roman" w:eastAsia="黑体" w:cs="Times New Roman"/>
          <w:sz w:val="24"/>
          <w:highlight w:val="none"/>
        </w:rPr>
        <w:t>一、</w:t>
      </w:r>
      <w:r>
        <w:rPr>
          <w:rFonts w:hint="eastAsia" w:ascii="Times New Roman" w:hAnsi="Times New Roman" w:eastAsia="黑体" w:cs="Times New Roman"/>
          <w:sz w:val="24"/>
          <w:highlight w:val="none"/>
          <w:lang w:val="en-US" w:eastAsia="zh-CN"/>
        </w:rPr>
        <w:t>响应</w:t>
      </w:r>
      <w:r>
        <w:rPr>
          <w:rFonts w:ascii="Times New Roman" w:hAnsi="Times New Roman" w:eastAsia="黑体" w:cs="Times New Roman"/>
          <w:sz w:val="24"/>
          <w:highlight w:val="none"/>
        </w:rPr>
        <w:t>函</w:t>
      </w:r>
      <w:bookmarkEnd w:id="76"/>
      <w:bookmarkEnd w:id="77"/>
      <w:bookmarkEnd w:id="78"/>
      <w:bookmarkEnd w:id="79"/>
      <w:bookmarkEnd w:id="80"/>
    </w:p>
    <w:p>
      <w:pPr>
        <w:spacing w:line="440" w:lineRule="exact"/>
        <w:ind w:left="1619" w:leftChars="771"/>
        <w:rPr>
          <w:rFonts w:ascii="Times New Roman" w:hAnsi="Times New Roman" w:eastAsia="黑体" w:cs="Times New Roman"/>
          <w:sz w:val="24"/>
          <w:highlight w:val="none"/>
        </w:rPr>
      </w:pPr>
      <w:bookmarkStart w:id="82" w:name="_Toc30428_WPSOffice_Level1"/>
      <w:bookmarkStart w:id="83" w:name="_Toc21229_WPSOffice_Level1"/>
      <w:bookmarkStart w:id="84" w:name="_Toc5317_WPSOffice_Level1"/>
      <w:bookmarkStart w:id="85" w:name="_Toc31927_WPSOffice_Level1"/>
      <w:bookmarkStart w:id="86" w:name="_Toc32729_WPSOffice_Level1"/>
      <w:r>
        <w:rPr>
          <w:rFonts w:ascii="Times New Roman" w:hAnsi="Times New Roman" w:eastAsia="黑体" w:cs="Times New Roman"/>
          <w:sz w:val="24"/>
          <w:highlight w:val="none"/>
        </w:rPr>
        <w:t>二、法定代表人身份证明及授权委托书</w:t>
      </w:r>
      <w:bookmarkEnd w:id="82"/>
      <w:bookmarkEnd w:id="83"/>
      <w:bookmarkEnd w:id="84"/>
      <w:bookmarkEnd w:id="85"/>
      <w:bookmarkEnd w:id="86"/>
    </w:p>
    <w:p>
      <w:pPr>
        <w:spacing w:line="440" w:lineRule="exact"/>
        <w:ind w:left="1619" w:leftChars="771"/>
        <w:rPr>
          <w:rFonts w:ascii="Times New Roman" w:hAnsi="Times New Roman" w:eastAsia="黑体" w:cs="Times New Roman"/>
          <w:sz w:val="24"/>
          <w:highlight w:val="none"/>
        </w:rPr>
      </w:pPr>
      <w:bookmarkStart w:id="87" w:name="_Toc29085_WPSOffice_Level1"/>
      <w:bookmarkStart w:id="88" w:name="_Toc23356_WPSOffice_Level1"/>
      <w:bookmarkStart w:id="89" w:name="_Toc25965_WPSOffice_Level1"/>
      <w:bookmarkStart w:id="90" w:name="_Toc21853_WPSOffice_Level1"/>
      <w:bookmarkStart w:id="91" w:name="_Toc4728_WPSOffice_Level1"/>
      <w:r>
        <w:rPr>
          <w:rFonts w:hint="eastAsia" w:ascii="Times New Roman" w:hAnsi="Times New Roman" w:eastAsia="黑体" w:cs="Times New Roman"/>
          <w:sz w:val="24"/>
          <w:highlight w:val="none"/>
        </w:rPr>
        <w:t>三</w:t>
      </w:r>
      <w:r>
        <w:rPr>
          <w:rFonts w:ascii="Times New Roman" w:hAnsi="Times New Roman" w:eastAsia="黑体" w:cs="Times New Roman"/>
          <w:sz w:val="24"/>
          <w:highlight w:val="none"/>
        </w:rPr>
        <w:t>、</w:t>
      </w:r>
      <w:r>
        <w:rPr>
          <w:rFonts w:hint="eastAsia" w:ascii="Times New Roman" w:hAnsi="Times New Roman" w:eastAsia="黑体" w:cs="Times New Roman"/>
          <w:sz w:val="24"/>
          <w:highlight w:val="none"/>
        </w:rPr>
        <w:t>供应商基本情况</w:t>
      </w:r>
    </w:p>
    <w:bookmarkEnd w:id="87"/>
    <w:bookmarkEnd w:id="88"/>
    <w:bookmarkEnd w:id="89"/>
    <w:bookmarkEnd w:id="90"/>
    <w:bookmarkEnd w:id="91"/>
    <w:p>
      <w:pPr>
        <w:spacing w:line="440" w:lineRule="exact"/>
        <w:ind w:left="1619" w:leftChars="771"/>
        <w:rPr>
          <w:rFonts w:hint="eastAsia" w:ascii="Times New Roman" w:hAnsi="Times New Roman" w:eastAsia="黑体" w:cs="Times New Roman"/>
          <w:sz w:val="24"/>
          <w:highlight w:val="none"/>
        </w:rPr>
      </w:pPr>
      <w:bookmarkStart w:id="92" w:name="_Toc7453_WPSOffice_Level1"/>
      <w:bookmarkStart w:id="93" w:name="_Toc29870_WPSOffice_Level1"/>
      <w:bookmarkStart w:id="94" w:name="_Toc23744_WPSOffice_Level1"/>
      <w:bookmarkStart w:id="95" w:name="_Toc10608_WPSOffice_Level1"/>
      <w:bookmarkStart w:id="96" w:name="_Toc18964_WPSOffice_Level1"/>
      <w:r>
        <w:rPr>
          <w:rFonts w:hint="eastAsia" w:ascii="Times New Roman" w:hAnsi="Times New Roman" w:eastAsia="黑体" w:cs="Times New Roman"/>
          <w:sz w:val="24"/>
          <w:highlight w:val="none"/>
        </w:rPr>
        <w:t>四</w:t>
      </w:r>
      <w:r>
        <w:rPr>
          <w:rFonts w:ascii="Times New Roman" w:hAnsi="Times New Roman" w:eastAsia="黑体" w:cs="Times New Roman"/>
          <w:sz w:val="24"/>
          <w:highlight w:val="none"/>
        </w:rPr>
        <w:t>、</w:t>
      </w:r>
      <w:bookmarkEnd w:id="92"/>
      <w:bookmarkEnd w:id="93"/>
      <w:bookmarkEnd w:id="94"/>
      <w:bookmarkEnd w:id="95"/>
      <w:bookmarkEnd w:id="96"/>
      <w:bookmarkStart w:id="97" w:name="_Toc24262_WPSOffice_Level1"/>
      <w:bookmarkStart w:id="98" w:name="_Toc12459_WPSOffice_Level1"/>
      <w:r>
        <w:rPr>
          <w:rFonts w:hint="eastAsia" w:ascii="Times New Roman" w:hAnsi="Times New Roman" w:eastAsia="黑体" w:cs="Times New Roman"/>
          <w:sz w:val="24"/>
          <w:highlight w:val="none"/>
        </w:rPr>
        <w:t>近年类似业绩情况</w:t>
      </w:r>
    </w:p>
    <w:p>
      <w:pPr>
        <w:spacing w:line="440" w:lineRule="exact"/>
        <w:ind w:left="1619" w:leftChars="771"/>
        <w:rPr>
          <w:rFonts w:hint="eastAsia" w:ascii="Times New Roman" w:hAnsi="Times New Roman" w:eastAsia="黑体" w:cs="Times New Roman"/>
          <w:sz w:val="24"/>
          <w:highlight w:val="none"/>
        </w:rPr>
      </w:pPr>
      <w:r>
        <w:rPr>
          <w:rFonts w:hint="eastAsia" w:ascii="Times New Roman" w:hAnsi="Times New Roman" w:eastAsia="黑体" w:cs="Times New Roman"/>
          <w:sz w:val="24"/>
          <w:highlight w:val="none"/>
          <w:lang w:val="en-US" w:eastAsia="zh-CN"/>
        </w:rPr>
        <w:t>五</w:t>
      </w:r>
      <w:r>
        <w:rPr>
          <w:rFonts w:ascii="Times New Roman" w:hAnsi="Times New Roman" w:eastAsia="黑体" w:cs="Times New Roman"/>
          <w:sz w:val="24"/>
          <w:highlight w:val="none"/>
        </w:rPr>
        <w:t>、</w:t>
      </w:r>
      <w:r>
        <w:rPr>
          <w:rFonts w:hint="eastAsia" w:ascii="Times New Roman" w:hAnsi="Times New Roman" w:eastAsia="黑体" w:cs="Times New Roman"/>
          <w:sz w:val="24"/>
          <w:highlight w:val="none"/>
        </w:rPr>
        <w:t>信誉情况</w:t>
      </w:r>
    </w:p>
    <w:p>
      <w:pPr>
        <w:spacing w:line="440" w:lineRule="exact"/>
        <w:ind w:left="1619" w:leftChars="771"/>
        <w:rPr>
          <w:rFonts w:hint="eastAsia" w:ascii="Times New Roman" w:hAnsi="Times New Roman" w:eastAsia="黑体" w:cs="Times New Roman"/>
          <w:sz w:val="24"/>
          <w:highlight w:val="none"/>
        </w:rPr>
      </w:pPr>
      <w:bookmarkStart w:id="99" w:name="_Toc927_WPSOffice_Level1"/>
      <w:bookmarkStart w:id="100" w:name="_Toc20930_WPSOffice_Level1"/>
      <w:bookmarkStart w:id="101" w:name="_Toc32220_WPSOffice_Level1"/>
      <w:r>
        <w:rPr>
          <w:rFonts w:hint="eastAsia" w:ascii="Times New Roman" w:hAnsi="Times New Roman" w:eastAsia="黑体" w:cs="Times New Roman"/>
          <w:sz w:val="24"/>
          <w:highlight w:val="none"/>
        </w:rPr>
        <w:t>六</w:t>
      </w:r>
      <w:r>
        <w:rPr>
          <w:rFonts w:ascii="Times New Roman" w:hAnsi="Times New Roman" w:eastAsia="黑体" w:cs="Times New Roman"/>
          <w:sz w:val="24"/>
          <w:highlight w:val="none"/>
        </w:rPr>
        <w:t>、</w:t>
      </w:r>
      <w:bookmarkEnd w:id="97"/>
      <w:bookmarkEnd w:id="98"/>
      <w:bookmarkEnd w:id="99"/>
      <w:bookmarkEnd w:id="100"/>
      <w:bookmarkEnd w:id="101"/>
      <w:r>
        <w:rPr>
          <w:rFonts w:hint="eastAsia" w:ascii="Times New Roman" w:hAnsi="Times New Roman" w:eastAsia="黑体" w:cs="Times New Roman"/>
          <w:sz w:val="24"/>
          <w:highlight w:val="none"/>
          <w:lang w:val="en-US" w:eastAsia="zh-CN"/>
        </w:rPr>
        <w:t>供货方案</w:t>
      </w:r>
    </w:p>
    <w:p>
      <w:pPr>
        <w:spacing w:line="440" w:lineRule="exact"/>
        <w:ind w:left="1619" w:leftChars="771"/>
        <w:rPr>
          <w:rFonts w:hint="eastAsia" w:ascii="Times New Roman" w:hAnsi="Times New Roman" w:eastAsia="黑体" w:cs="Times New Roman"/>
          <w:sz w:val="24"/>
          <w:highlight w:val="none"/>
        </w:rPr>
      </w:pPr>
      <w:bookmarkStart w:id="102" w:name="_Toc5885_WPSOffice_Level1"/>
      <w:bookmarkStart w:id="103" w:name="_Toc25973_WPSOffice_Level1"/>
      <w:bookmarkStart w:id="104" w:name="_Toc16988_WPSOffice_Level1"/>
      <w:r>
        <w:rPr>
          <w:rFonts w:hint="eastAsia" w:ascii="Times New Roman" w:hAnsi="Times New Roman" w:eastAsia="黑体" w:cs="Times New Roman"/>
          <w:sz w:val="24"/>
          <w:highlight w:val="none"/>
        </w:rPr>
        <w:t>七、其他材料</w:t>
      </w:r>
      <w:bookmarkEnd w:id="81"/>
      <w:bookmarkEnd w:id="102"/>
      <w:bookmarkEnd w:id="103"/>
      <w:bookmarkEnd w:id="104"/>
    </w:p>
    <w:p>
      <w:pPr>
        <w:pStyle w:val="20"/>
        <w:rPr>
          <w:highlight w:val="none"/>
        </w:rPr>
      </w:pPr>
    </w:p>
    <w:p>
      <w:pPr>
        <w:spacing w:line="440" w:lineRule="exact"/>
        <w:ind w:left="1619" w:leftChars="771"/>
        <w:rPr>
          <w:rFonts w:ascii="Times New Roman" w:hAnsi="Times New Roman" w:eastAsia="黑体" w:cs="Times New Roman"/>
          <w:sz w:val="24"/>
          <w:highlight w:val="none"/>
        </w:rPr>
      </w:pPr>
    </w:p>
    <w:p>
      <w:pPr>
        <w:spacing w:line="440" w:lineRule="exact"/>
        <w:ind w:left="1619" w:leftChars="771"/>
        <w:rPr>
          <w:rFonts w:ascii="Times New Roman" w:hAnsi="Times New Roman" w:eastAsia="黑体" w:cs="Times New Roman"/>
          <w:sz w:val="24"/>
          <w:highlight w:val="none"/>
        </w:rPr>
      </w:pPr>
    </w:p>
    <w:p>
      <w:pPr>
        <w:spacing w:line="440" w:lineRule="exact"/>
        <w:jc w:val="center"/>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br w:type="page"/>
      </w:r>
      <w:bookmarkStart w:id="105" w:name="_Toc1687_WPSOffice_Level1"/>
      <w:bookmarkStart w:id="106" w:name="_Toc1362_WPSOffice_Level1"/>
      <w:bookmarkStart w:id="107" w:name="_Toc3972_WPSOffice_Level1"/>
      <w:bookmarkStart w:id="108" w:name="_Toc1017_WPSOffice_Level1"/>
      <w:bookmarkStart w:id="109" w:name="_Toc2765_WPSOffice_Level1"/>
      <w:bookmarkStart w:id="110" w:name="_Toc18312_WPSOffice_Level1"/>
    </w:p>
    <w:p>
      <w:pPr>
        <w:spacing w:line="440" w:lineRule="exact"/>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一</w:t>
      </w:r>
      <w:r>
        <w:rPr>
          <w:rFonts w:ascii="Times New Roman" w:hAnsi="Times New Roman" w:eastAsia="黑体" w:cs="Times New Roman"/>
          <w:sz w:val="28"/>
          <w:szCs w:val="28"/>
          <w:highlight w:val="none"/>
        </w:rPr>
        <w:t>、</w:t>
      </w:r>
      <w:r>
        <w:rPr>
          <w:rFonts w:hint="eastAsia" w:ascii="Times New Roman" w:hAnsi="Times New Roman" w:eastAsia="黑体" w:cs="Times New Roman"/>
          <w:sz w:val="28"/>
          <w:szCs w:val="28"/>
          <w:highlight w:val="none"/>
        </w:rPr>
        <w:t>响应函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ascii="Times New Roman" w:hAnsi="Times New Roman" w:cs="Times New Roman"/>
          <w:sz w:val="24"/>
          <w:highlight w:val="none"/>
        </w:rPr>
        <w:t>采购人名称</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cs="Times New Roman"/>
          <w:sz w:val="24"/>
          <w:highlight w:val="none"/>
        </w:rPr>
      </w:pPr>
      <w:r>
        <w:rPr>
          <w:rFonts w:hint="default" w:ascii="Times New Roman" w:hAnsi="Times New Roman" w:eastAsia="宋体" w:cs="Times New Roman"/>
          <w:sz w:val="24"/>
          <w:szCs w:val="24"/>
          <w:highlight w:val="none"/>
        </w:rPr>
        <w:t>1．</w:t>
      </w:r>
      <w:r>
        <w:rPr>
          <w:rFonts w:hint="eastAsia" w:ascii="宋体" w:hAnsi="宋体" w:eastAsia="宋体" w:cs="宋体"/>
          <w:sz w:val="24"/>
          <w:szCs w:val="24"/>
          <w:highlight w:val="none"/>
        </w:rPr>
        <w:t>我方已仔细研究了</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（项目名称）招标文件的全部内容，愿意以报价文件中的投标总报价或根据招标文件规定修正核实后确定的另一金额</w:t>
      </w:r>
      <w:bookmarkStart w:id="156" w:name="_GoBack"/>
      <w:bookmarkEnd w:id="156"/>
      <w:r>
        <w:rPr>
          <w:rFonts w:hint="eastAsia" w:ascii="Times New Roman" w:hAnsi="Times New Roman" w:cs="Times New Roman"/>
          <w:sz w:val="24"/>
          <w:highlight w:val="none"/>
          <w:lang w:val="en-US" w:eastAsia="zh-CN"/>
        </w:rPr>
        <w:t>提供招标文件要求的货物、技术服务和质保售后服务，并按合同约定履行义务</w:t>
      </w:r>
      <w:r>
        <w:rPr>
          <w:rFonts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2．</w:t>
      </w:r>
      <w:r>
        <w:rPr>
          <w:rFonts w:hint="eastAsia" w:ascii="宋体" w:hAnsi="宋体" w:eastAsia="宋体" w:cs="宋体"/>
          <w:sz w:val="24"/>
          <w:szCs w:val="24"/>
          <w:highlight w:val="none"/>
        </w:rPr>
        <w:t>我方承诺响应招标文件的全部要求。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sz w:val="24"/>
          <w:szCs w:val="24"/>
          <w:highlight w:val="none"/>
        </w:rPr>
        <w:t>3．</w:t>
      </w:r>
      <w:r>
        <w:rPr>
          <w:rFonts w:hint="eastAsia" w:ascii="宋体" w:hAnsi="宋体" w:eastAsia="宋体" w:cs="宋体"/>
          <w:sz w:val="24"/>
          <w:szCs w:val="24"/>
          <w:highlight w:val="none"/>
        </w:rPr>
        <w:t>我方承诺在招标文件规定的投标有效期内不撤销投标文件。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4．</w:t>
      </w:r>
      <w:r>
        <w:rPr>
          <w:rFonts w:hint="eastAsia" w:ascii="宋体" w:hAnsi="宋体" w:eastAsia="宋体" w:cs="宋体"/>
          <w:sz w:val="24"/>
          <w:szCs w:val="24"/>
          <w:highlight w:val="none"/>
        </w:rPr>
        <w:t>如我方中标，我方承诺：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（3）按照招标文件要求提交履约保证金</w:t>
      </w:r>
      <w:r>
        <w:rPr>
          <w:rFonts w:hint="eastAsia" w:ascii="宋体" w:hAnsi="宋体" w:eastAsia="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（4）在合同约定的期限内完成合同规定的全部义务；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接到供货需求后做到24小时内将材料送到指定地点（不限数量）。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（6）提供送货验收软件（非年费版）。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5．</w:t>
      </w:r>
      <w:r>
        <w:rPr>
          <w:rFonts w:hint="eastAsia" w:ascii="宋体" w:hAnsi="宋体" w:eastAsia="宋体" w:cs="宋体"/>
          <w:sz w:val="24"/>
          <w:szCs w:val="24"/>
          <w:highlight w:val="none"/>
        </w:rPr>
        <w:t>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6．</w:t>
      </w:r>
      <w:r>
        <w:rPr>
          <w:rFonts w:hint="eastAsia" w:ascii="宋体" w:hAnsi="宋体" w:eastAsia="宋体" w:cs="宋体"/>
          <w:sz w:val="24"/>
          <w:szCs w:val="24"/>
          <w:highlight w:val="none"/>
        </w:rPr>
        <w:t>在合同协议书正式签署生效之前，本</w:t>
      </w:r>
      <w:r>
        <w:rPr>
          <w:rFonts w:hint="eastAsia" w:ascii="宋体" w:hAnsi="宋体" w:eastAsia="宋体" w:cs="宋体"/>
          <w:sz w:val="24"/>
          <w:szCs w:val="24"/>
          <w:highlight w:val="none"/>
          <w:lang w:eastAsia="zh-CN"/>
        </w:rPr>
        <w:t>报价函</w:t>
      </w:r>
      <w:r>
        <w:rPr>
          <w:rFonts w:hint="eastAsia" w:ascii="宋体" w:hAnsi="宋体" w:eastAsia="宋体" w:cs="宋体"/>
          <w:sz w:val="24"/>
          <w:szCs w:val="24"/>
          <w:highlight w:val="none"/>
        </w:rPr>
        <w:t>连同你方的中标通知书将构成我们双方之间共同遵守的文件，对双方具有约束力。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default" w:ascii="Times New Roman" w:hAnsi="Times New Roman" w:eastAsia="宋体" w:cs="Times New Roman"/>
          <w:sz w:val="24"/>
          <w:szCs w:val="24"/>
          <w:highlight w:val="none"/>
        </w:rPr>
        <w:t>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地  址</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160" w:firstLineChars="9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  话：</w:t>
      </w:r>
      <w:r>
        <w:rPr>
          <w:rFonts w:hint="eastAsia" w:ascii="宋体" w:hAnsi="宋体" w:eastAsia="宋体" w:cs="宋体"/>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440" w:lineRule="exact"/>
        <w:jc w:val="center"/>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0"/>
          <w:szCs w:val="20"/>
          <w:highlight w:val="none"/>
        </w:rPr>
      </w:pPr>
    </w:p>
    <w:p>
      <w:pPr>
        <w:pStyle w:val="20"/>
        <w:rPr>
          <w:highlight w:val="none"/>
        </w:rPr>
      </w:pPr>
    </w:p>
    <w:p>
      <w:pPr>
        <w:spacing w:line="440" w:lineRule="exact"/>
        <w:jc w:val="center"/>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0"/>
          <w:szCs w:val="20"/>
          <w:highlight w:val="none"/>
        </w:rPr>
      </w:pPr>
    </w:p>
    <w:p>
      <w:pPr>
        <w:rPr>
          <w:highlight w:val="none"/>
        </w:rPr>
      </w:pPr>
    </w:p>
    <w:p>
      <w:pPr>
        <w:pStyle w:val="2"/>
        <w:rPr>
          <w:highlight w:val="none"/>
        </w:rPr>
      </w:pPr>
    </w:p>
    <w:bookmarkEnd w:id="105"/>
    <w:bookmarkEnd w:id="106"/>
    <w:bookmarkEnd w:id="107"/>
    <w:bookmarkEnd w:id="108"/>
    <w:bookmarkEnd w:id="109"/>
    <w:bookmarkEnd w:id="110"/>
    <w:p>
      <w:pPr>
        <w:spacing w:line="440" w:lineRule="exact"/>
        <w:jc w:val="center"/>
        <w:rPr>
          <w:rFonts w:ascii="Times New Roman" w:hAnsi="Times New Roman" w:eastAsia="黑体" w:cs="Times New Roman"/>
          <w:sz w:val="28"/>
          <w:szCs w:val="28"/>
          <w:highlight w:val="none"/>
        </w:rPr>
      </w:pPr>
      <w:bookmarkStart w:id="111" w:name="_Toc18668_WPSOffice_Level1"/>
      <w:bookmarkStart w:id="112" w:name="_Toc14563_WPSOffice_Level1"/>
      <w:bookmarkStart w:id="113" w:name="_Toc1996_WPSOffice_Level1"/>
      <w:bookmarkStart w:id="114" w:name="_Toc21740_WPSOffice_Level1"/>
      <w:bookmarkStart w:id="115" w:name="_Toc4951_WPSOffice_Level1"/>
      <w:bookmarkStart w:id="116" w:name="_Toc32350_WPSOffice_Level1"/>
      <w:r>
        <w:rPr>
          <w:rFonts w:ascii="Times New Roman" w:hAnsi="Times New Roman" w:eastAsia="黑体" w:cs="Times New Roman"/>
          <w:sz w:val="28"/>
          <w:szCs w:val="28"/>
          <w:highlight w:val="none"/>
        </w:rPr>
        <w:t>二、法定代表人身份证明及授权委托书</w:t>
      </w:r>
      <w:bookmarkEnd w:id="111"/>
      <w:bookmarkEnd w:id="112"/>
      <w:bookmarkEnd w:id="113"/>
      <w:bookmarkEnd w:id="114"/>
      <w:bookmarkEnd w:id="115"/>
      <w:bookmarkEnd w:id="116"/>
    </w:p>
    <w:p>
      <w:pPr>
        <w:spacing w:line="440" w:lineRule="exact"/>
        <w:jc w:val="center"/>
        <w:rPr>
          <w:rFonts w:ascii="Times New Roman" w:hAnsi="Times New Roman" w:cs="Times New Roman"/>
          <w:sz w:val="28"/>
          <w:szCs w:val="28"/>
          <w:highlight w:val="none"/>
        </w:rPr>
      </w:pPr>
      <w:bookmarkStart w:id="117" w:name="_Toc5153_WPSOffice_Level2"/>
      <w:bookmarkStart w:id="118" w:name="_Toc20803_WPSOffice_Level2"/>
      <w:r>
        <w:rPr>
          <w:rFonts w:ascii="Times New Roman" w:hAnsi="Times New Roman" w:eastAsia="黑体" w:cs="Times New Roman"/>
          <w:bCs/>
          <w:sz w:val="28"/>
          <w:szCs w:val="28"/>
          <w:highlight w:val="none"/>
        </w:rPr>
        <w:t>2-1 法定代表人身份证明</w:t>
      </w:r>
      <w:bookmarkEnd w:id="117"/>
      <w:bookmarkEnd w:id="118"/>
    </w:p>
    <w:p>
      <w:pPr>
        <w:spacing w:line="440" w:lineRule="exact"/>
        <w:rPr>
          <w:rFonts w:ascii="Times New Roman" w:hAnsi="Times New Roman" w:cs="Times New Roman"/>
          <w:sz w:val="20"/>
          <w:szCs w:val="20"/>
          <w:highlight w:val="none"/>
        </w:rPr>
      </w:pP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供应商名称：</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单位性质：</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地址：</w:t>
      </w:r>
      <w:r>
        <w:rPr>
          <w:rFonts w:hint="eastAsia" w:asciiTheme="minorEastAsia" w:hAnsiTheme="minorEastAsia" w:eastAsiaTheme="minorEastAsia" w:cstheme="minorEastAsia"/>
          <w:sz w:val="24"/>
          <w:highlight w:val="none"/>
          <w:u w:val="single"/>
        </w:rPr>
        <w:t xml:space="preserve">                                   </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成立时间：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年</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月</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日</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经营期限：</w:t>
      </w:r>
      <w:r>
        <w:rPr>
          <w:rFonts w:hint="eastAsia" w:asciiTheme="minorEastAsia" w:hAnsiTheme="minorEastAsia" w:eastAsiaTheme="minorEastAsia" w:cstheme="minorEastAsia"/>
          <w:sz w:val="24"/>
          <w:highlight w:val="none"/>
          <w:u w:val="single"/>
        </w:rPr>
        <w:t xml:space="preserve">                               </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姓名：</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bCs/>
          <w:sz w:val="24"/>
          <w:highlight w:val="none"/>
          <w:u w:val="single"/>
        </w:rPr>
        <w:t xml:space="preserve">                </w:t>
      </w:r>
      <w:r>
        <w:rPr>
          <w:rFonts w:hint="eastAsia" w:asciiTheme="minorEastAsia" w:hAnsiTheme="minorEastAsia" w:eastAsiaTheme="minorEastAsia" w:cstheme="minorEastAsia"/>
          <w:sz w:val="24"/>
          <w:highlight w:val="none"/>
        </w:rPr>
        <w:t xml:space="preserve"> 性别：</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年龄：</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职务：</w:t>
      </w:r>
      <w:r>
        <w:rPr>
          <w:rFonts w:hint="eastAsia" w:asciiTheme="minorEastAsia" w:hAnsiTheme="minorEastAsia" w:eastAsiaTheme="minorEastAsia" w:cstheme="minorEastAsia"/>
          <w:sz w:val="24"/>
          <w:highlight w:val="none"/>
          <w:u w:val="single"/>
        </w:rPr>
        <w:t xml:space="preserve">        </w:t>
      </w:r>
    </w:p>
    <w:p>
      <w:pPr>
        <w:spacing w:line="440" w:lineRule="exact"/>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系</w:t>
      </w:r>
      <w:r>
        <w:rPr>
          <w:rFonts w:hint="eastAsia" w:asciiTheme="minorEastAsia" w:hAnsiTheme="minorEastAsia" w:eastAsiaTheme="minorEastAsia" w:cstheme="minorEastAsia"/>
          <w:sz w:val="24"/>
          <w:highlight w:val="none"/>
          <w:u w:val="single"/>
        </w:rPr>
        <w:t xml:space="preserve">                             </w:t>
      </w:r>
      <w:r>
        <w:rPr>
          <w:rFonts w:hint="eastAsia" w:asciiTheme="minorEastAsia" w:hAnsiTheme="minorEastAsia" w:eastAsiaTheme="minorEastAsia" w:cstheme="minorEastAsia"/>
          <w:sz w:val="24"/>
          <w:highlight w:val="none"/>
        </w:rPr>
        <w:t xml:space="preserve"> (供应商名称)的法定代表人。</w:t>
      </w:r>
    </w:p>
    <w:p>
      <w:pPr>
        <w:spacing w:line="440" w:lineRule="exact"/>
        <w:ind w:firstLine="480"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附：法定代表人身份证正反面复印件</w:t>
      </w:r>
    </w:p>
    <w:p>
      <w:pPr>
        <w:spacing w:line="440" w:lineRule="exact"/>
        <w:ind w:firstLine="480" w:firstLineChars="200"/>
        <w:rPr>
          <w:rFonts w:ascii="Times New Roman" w:hAnsi="Times New Roman" w:cs="Times New Roman"/>
          <w:sz w:val="24"/>
          <w:highlight w:val="none"/>
        </w:rPr>
      </w:pPr>
    </w:p>
    <w:p>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特此证明。</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p>
    <w:p>
      <w:pPr>
        <w:spacing w:line="440" w:lineRule="exact"/>
        <w:rPr>
          <w:rFonts w:hint="eastAsia" w:ascii="宋体" w:hAnsi="宋体" w:eastAsia="宋体" w:cs="宋体"/>
          <w:sz w:val="24"/>
          <w:highlight w:val="none"/>
        </w:rPr>
      </w:pPr>
      <w:r>
        <w:rPr>
          <w:rFonts w:ascii="Times New Roman" w:hAnsi="Times New Roman" w:cs="Times New Roman"/>
          <w:sz w:val="24"/>
          <w:highlight w:val="none"/>
        </w:rPr>
        <w:t xml:space="preserve">                         </w:t>
      </w:r>
      <w:r>
        <w:rPr>
          <w:rFonts w:hint="eastAsia" w:ascii="宋体" w:hAnsi="宋体" w:eastAsia="宋体" w:cs="宋体"/>
          <w:sz w:val="24"/>
          <w:highlight w:val="none"/>
        </w:rPr>
        <w:t xml:space="preserve"> 供应商：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spacing w:line="440" w:lineRule="exact"/>
        <w:rPr>
          <w:rFonts w:ascii="Times New Roman" w:hAnsi="Times New Roman" w:cs="Times New Roman"/>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r>
        <w:rPr>
          <w:rFonts w:ascii="Times New Roman" w:hAnsi="Times New Roman" w:cs="Times New Roman"/>
          <w:sz w:val="24"/>
          <w:highlight w:val="none"/>
        </w:rPr>
        <w:t xml:space="preserve">         </w:t>
      </w:r>
    </w:p>
    <w:p>
      <w:pPr>
        <w:topLinePunct/>
        <w:spacing w:line="440" w:lineRule="exact"/>
        <w:rPr>
          <w:rFonts w:ascii="Times New Roman" w:hAnsi="Times New Roman" w:eastAsia="黑体" w:cs="Times New Roman"/>
          <w:sz w:val="24"/>
          <w:highlight w:val="none"/>
        </w:rPr>
      </w:pPr>
    </w:p>
    <w:p>
      <w:pPr>
        <w:topLinePunct/>
        <w:spacing w:line="440" w:lineRule="exact"/>
        <w:rPr>
          <w:rFonts w:ascii="Times New Roman" w:hAnsi="Times New Roman" w:eastAsia="黑体" w:cs="Times New Roman"/>
          <w:sz w:val="24"/>
          <w:highlight w:val="none"/>
        </w:rPr>
      </w:pPr>
    </w:p>
    <w:p>
      <w:pPr>
        <w:topLinePunct/>
        <w:spacing w:line="440" w:lineRule="exact"/>
        <w:rPr>
          <w:rFonts w:ascii="Times New Roman" w:hAnsi="Times New Roman" w:eastAsia="黑体" w:cs="Times New Roman"/>
          <w:sz w:val="24"/>
          <w:highlight w:val="none"/>
        </w:rPr>
      </w:pPr>
    </w:p>
    <w:p>
      <w:pPr>
        <w:topLinePunct/>
        <w:spacing w:line="440" w:lineRule="exact"/>
        <w:rPr>
          <w:rFonts w:ascii="Times New Roman" w:hAnsi="Times New Roman" w:eastAsia="黑体" w:cs="Times New Roman"/>
          <w:sz w:val="24"/>
          <w:highlight w:val="none"/>
        </w:rPr>
      </w:pPr>
    </w:p>
    <w:p>
      <w:pPr>
        <w:topLinePunct/>
        <w:spacing w:line="440" w:lineRule="exact"/>
        <w:rPr>
          <w:rFonts w:ascii="Times New Roman" w:hAnsi="Times New Roman" w:eastAsia="黑体" w:cs="Times New Roman"/>
          <w:sz w:val="24"/>
          <w:highlight w:val="none"/>
        </w:rPr>
      </w:pPr>
    </w:p>
    <w:p>
      <w:pPr>
        <w:topLinePunct/>
        <w:spacing w:line="440" w:lineRule="exact"/>
        <w:ind w:left="315" w:hanging="315" w:hangingChars="150"/>
        <w:rPr>
          <w:rFonts w:ascii="Times New Roman" w:hAnsi="Times New Roman" w:eastAsia="黑体" w:cs="Times New Roman"/>
          <w:szCs w:val="21"/>
          <w:highlight w:val="none"/>
        </w:rPr>
      </w:pPr>
    </w:p>
    <w:p>
      <w:pPr>
        <w:topLinePunct/>
        <w:spacing w:line="440" w:lineRule="exact"/>
        <w:ind w:left="315" w:hanging="315" w:hangingChars="150"/>
        <w:rPr>
          <w:rFonts w:ascii="Times New Roman" w:hAnsi="Times New Roman" w:eastAsia="黑体" w:cs="Times New Roman"/>
          <w:bCs/>
          <w:szCs w:val="21"/>
          <w:highlight w:val="none"/>
        </w:rPr>
      </w:pPr>
    </w:p>
    <w:p>
      <w:pPr>
        <w:spacing w:line="440" w:lineRule="exact"/>
        <w:jc w:val="center"/>
        <w:rPr>
          <w:rFonts w:hint="eastAsia" w:ascii="Times New Roman" w:hAnsi="Times New Roman" w:cs="Times New Roman" w:eastAsiaTheme="minorEastAsia"/>
          <w:sz w:val="28"/>
          <w:szCs w:val="28"/>
          <w:highlight w:val="none"/>
          <w:lang w:eastAsia="zh-CN"/>
        </w:rPr>
      </w:pPr>
      <w:r>
        <w:rPr>
          <w:rFonts w:ascii="Times New Roman" w:hAnsi="Times New Roman" w:eastAsia="黑体" w:cs="Times New Roman"/>
          <w:sz w:val="24"/>
          <w:highlight w:val="none"/>
        </w:rPr>
        <w:br w:type="page"/>
      </w:r>
      <w:bookmarkStart w:id="119" w:name="_Toc12035_WPSOffice_Level2"/>
      <w:bookmarkStart w:id="120" w:name="_Toc19768_WPSOffice_Level2"/>
      <w:r>
        <w:rPr>
          <w:rFonts w:ascii="Times New Roman" w:hAnsi="Times New Roman" w:eastAsia="黑体" w:cs="Times New Roman"/>
          <w:bCs/>
          <w:sz w:val="28"/>
          <w:szCs w:val="28"/>
          <w:highlight w:val="none"/>
        </w:rPr>
        <w:t xml:space="preserve">2-2 </w:t>
      </w:r>
      <w:r>
        <w:rPr>
          <w:rFonts w:ascii="Times New Roman" w:hAnsi="Times New Roman" w:eastAsia="黑体" w:cs="Times New Roman"/>
          <w:sz w:val="28"/>
          <w:szCs w:val="28"/>
          <w:highlight w:val="none"/>
        </w:rPr>
        <w:t>授权委托书</w:t>
      </w:r>
      <w:bookmarkEnd w:id="119"/>
      <w:bookmarkEnd w:id="120"/>
    </w:p>
    <w:p>
      <w:pPr>
        <w:spacing w:line="440" w:lineRule="exact"/>
        <w:rPr>
          <w:rFonts w:ascii="Times New Roman" w:hAnsi="Times New Roman" w:eastAsia="黑体" w:cs="Times New Roman"/>
          <w:sz w:val="24"/>
          <w:highlight w:val="none"/>
        </w:rPr>
      </w:pPr>
    </w:p>
    <w:p>
      <w:pPr>
        <w:topLinePunct/>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本人</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(姓名)系</w:t>
      </w:r>
      <w:r>
        <w:rPr>
          <w:rFonts w:ascii="Times New Roman" w:hAnsi="Times New Roman" w:cs="Times New Roman"/>
          <w:sz w:val="24"/>
          <w:highlight w:val="none"/>
          <w:u w:val="single"/>
        </w:rPr>
        <w:t xml:space="preserve">          </w:t>
      </w:r>
      <w:r>
        <w:rPr>
          <w:rFonts w:ascii="Times New Roman" w:hAnsi="Times New Roman" w:cs="Times New Roman"/>
          <w:sz w:val="24"/>
          <w:highlight w:val="none"/>
        </w:rPr>
        <w:t>(供应商名称)的法定代表人，现委托</w:t>
      </w:r>
      <w:r>
        <w:rPr>
          <w:rFonts w:ascii="Times New Roman" w:hAnsi="Times New Roman" w:cs="Times New Roman"/>
          <w:sz w:val="24"/>
          <w:highlight w:val="none"/>
          <w:u w:val="single"/>
        </w:rPr>
        <w:t xml:space="preserve">        </w:t>
      </w:r>
      <w:r>
        <w:rPr>
          <w:rFonts w:ascii="Times New Roman" w:hAnsi="Times New Roman" w:cs="Times New Roman"/>
          <w:sz w:val="24"/>
          <w:highlight w:val="none"/>
        </w:rPr>
        <w:t>(姓名)为我方代理人。代理人根据授权，以我方名义签署、澄清、说明、补正、递交、撤回、修改</w:t>
      </w:r>
      <w:r>
        <w:rPr>
          <w:rFonts w:ascii="Times New Roman" w:hAnsi="Times New Roman" w:cs="Times New Roman"/>
          <w:sz w:val="24"/>
          <w:highlight w:val="none"/>
          <w:u w:val="single"/>
        </w:rPr>
        <w:t xml:space="preserve">                     </w:t>
      </w:r>
      <w:r>
        <w:rPr>
          <w:rFonts w:ascii="Times New Roman" w:hAnsi="Times New Roman" w:cs="Times New Roman"/>
          <w:sz w:val="24"/>
          <w:highlight w:val="none"/>
        </w:rPr>
        <w:t>(项目名称)响应文件、签订合同和处理有关事宜，其法律后果由我方承担。</w:t>
      </w: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委托期限：</w:t>
      </w:r>
      <w:r>
        <w:rPr>
          <w:rFonts w:ascii="Times New Roman" w:hAnsi="Times New Roman" w:cs="Times New Roman"/>
          <w:sz w:val="24"/>
          <w:highlight w:val="none"/>
          <w:u w:val="single"/>
        </w:rPr>
        <w:t>自授权委托之日起至签订合同之日止</w:t>
      </w:r>
      <w:r>
        <w:rPr>
          <w:rFonts w:ascii="Times New Roman" w:hAnsi="Times New Roman" w:cs="Times New Roman"/>
          <w:sz w:val="24"/>
          <w:highlight w:val="none"/>
        </w:rPr>
        <w:t>。</w:t>
      </w:r>
    </w:p>
    <w:p>
      <w:pPr>
        <w:spacing w:line="440" w:lineRule="exact"/>
        <w:ind w:firstLine="480" w:firstLineChars="200"/>
        <w:rPr>
          <w:rFonts w:ascii="Times New Roman" w:hAnsi="Times New Roman" w:cs="Times New Roman"/>
          <w:sz w:val="24"/>
          <w:highlight w:val="none"/>
        </w:rPr>
      </w:pPr>
      <w:r>
        <w:rPr>
          <w:rFonts w:ascii="Times New Roman" w:hAnsi="Times New Roman" w:cs="Times New Roman"/>
          <w:sz w:val="24"/>
          <w:highlight w:val="none"/>
        </w:rPr>
        <w:t>代理人无转委托权。</w:t>
      </w:r>
    </w:p>
    <w:p>
      <w:pPr>
        <w:spacing w:line="440" w:lineRule="exact"/>
        <w:ind w:firstLine="480" w:firstLineChars="200"/>
        <w:rPr>
          <w:rFonts w:ascii="Times New Roman" w:hAnsi="Times New Roman" w:cs="Times New Roman"/>
          <w:b/>
          <w:bCs/>
          <w:sz w:val="24"/>
          <w:highlight w:val="none"/>
        </w:rPr>
      </w:pPr>
      <w:r>
        <w:rPr>
          <w:rFonts w:ascii="Times New Roman" w:hAnsi="Times New Roman" w:cs="Times New Roman"/>
          <w:b/>
          <w:bCs/>
          <w:sz w:val="24"/>
          <w:highlight w:val="none"/>
        </w:rPr>
        <w:t>附：法定代表人身份证明</w:t>
      </w:r>
      <w:r>
        <w:rPr>
          <w:rFonts w:hint="eastAsia" w:ascii="Times New Roman" w:hAnsi="Times New Roman" w:cs="Times New Roman"/>
          <w:b/>
          <w:bCs/>
          <w:sz w:val="24"/>
          <w:highlight w:val="none"/>
        </w:rPr>
        <w:t>、委托代理人的身份证正反面复印件</w:t>
      </w:r>
    </w:p>
    <w:p>
      <w:pPr>
        <w:spacing w:line="440" w:lineRule="exact"/>
        <w:ind w:firstLine="480" w:firstLineChars="200"/>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p>
    <w:p>
      <w:pPr>
        <w:spacing w:line="440" w:lineRule="exact"/>
        <w:rPr>
          <w:rFonts w:hint="eastAsia" w:asciiTheme="minorEastAsia" w:hAnsiTheme="minorEastAsia" w:eastAsiaTheme="minorEastAsia" w:cstheme="minorEastAsia"/>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hint="eastAsia" w:asciiTheme="minorEastAsia" w:hAnsiTheme="minorEastAsia" w:eastAsiaTheme="minorEastAsia" w:cstheme="minorEastAsia"/>
          <w:sz w:val="24"/>
          <w:highlight w:val="none"/>
        </w:rPr>
        <w:t>(盖单位章)</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法定代表人：</w:t>
      </w:r>
      <w:r>
        <w:rPr>
          <w:rFonts w:ascii="Times New Roman" w:hAnsi="Times New Roman" w:cs="Times New Roman"/>
          <w:sz w:val="24"/>
          <w:highlight w:val="none"/>
          <w:u w:val="single"/>
        </w:rPr>
        <w:t xml:space="preserve">                         </w:t>
      </w:r>
      <w:r>
        <w:rPr>
          <w:rFonts w:hint="eastAsia" w:ascii="宋体" w:hAnsi="宋体" w:eastAsia="宋体" w:cs="宋体"/>
          <w:sz w:val="24"/>
          <w:szCs w:val="24"/>
          <w:highlight w:val="none"/>
        </w:rPr>
        <w:t>（签字或盖章）</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委托代理人：</w:t>
      </w:r>
      <w:r>
        <w:rPr>
          <w:rFonts w:ascii="Times New Roman" w:hAnsi="Times New Roman" w:cs="Times New Roman"/>
          <w:sz w:val="24"/>
          <w:highlight w:val="none"/>
          <w:u w:val="single"/>
        </w:rPr>
        <w:t xml:space="preserve">                               </w:t>
      </w:r>
      <w:r>
        <w:rPr>
          <w:rFonts w:hint="eastAsia" w:ascii="宋体" w:hAnsi="宋体" w:eastAsia="宋体" w:cs="宋体"/>
          <w:sz w:val="24"/>
          <w:szCs w:val="24"/>
          <w:highlight w:val="none"/>
        </w:rPr>
        <w:t>（签字）</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身份证号码：</w:t>
      </w:r>
      <w:r>
        <w:rPr>
          <w:rFonts w:ascii="Times New Roman" w:hAnsi="Times New Roman" w:cs="Times New Roman"/>
          <w:sz w:val="24"/>
          <w:highlight w:val="none"/>
          <w:u w:val="single"/>
        </w:rPr>
        <w:t xml:space="preserve">                                    </w:t>
      </w:r>
    </w:p>
    <w:p>
      <w:pPr>
        <w:spacing w:line="440" w:lineRule="exact"/>
        <w:rPr>
          <w:rFonts w:ascii="Times New Roman" w:hAnsi="Times New Roman" w:cs="Times New Roman"/>
          <w:sz w:val="24"/>
          <w:highlight w:val="none"/>
        </w:rPr>
      </w:pPr>
    </w:p>
    <w:p>
      <w:pPr>
        <w:spacing w:line="440" w:lineRule="exact"/>
        <w:rPr>
          <w:rFonts w:ascii="Times New Roman" w:hAnsi="Times New Roman" w:cs="Times New Roman"/>
          <w:sz w:val="24"/>
          <w:highlight w:val="none"/>
        </w:rPr>
      </w:pPr>
    </w:p>
    <w:p>
      <w:pPr>
        <w:spacing w:line="440" w:lineRule="exact"/>
        <w:ind w:firstLine="3000" w:firstLineChars="1250"/>
        <w:rPr>
          <w:rFonts w:ascii="Times New Roman" w:hAnsi="Times New Roman" w:eastAsia="黑体" w:cs="Times New Roman"/>
          <w:sz w:val="24"/>
          <w:highlight w:val="none"/>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bookmarkStart w:id="121" w:name="_Toc27513_WPSOffice_Level1"/>
      <w:bookmarkStart w:id="122" w:name="_Toc24567_WPSOffice_Level1"/>
      <w:bookmarkStart w:id="123" w:name="_Toc28828_WPSOffice_Level1"/>
      <w:bookmarkStart w:id="124" w:name="_Toc26364_WPSOffice_Level1"/>
      <w:bookmarkStart w:id="125" w:name="_Toc32085_WPSOffice_Level1"/>
      <w:bookmarkStart w:id="126" w:name="_Toc24530_WPSOffice_Level1"/>
    </w:p>
    <w:bookmarkEnd w:id="121"/>
    <w:bookmarkEnd w:id="122"/>
    <w:bookmarkEnd w:id="123"/>
    <w:bookmarkEnd w:id="124"/>
    <w:bookmarkEnd w:id="125"/>
    <w:bookmarkEnd w:id="126"/>
    <w:p>
      <w:pPr>
        <w:topLinePunct/>
        <w:spacing w:line="440" w:lineRule="exact"/>
        <w:jc w:val="center"/>
        <w:rPr>
          <w:rFonts w:ascii="Times New Roman" w:hAnsi="Times New Roman" w:eastAsia="黑体" w:cs="Times New Roman"/>
          <w:sz w:val="28"/>
          <w:szCs w:val="28"/>
          <w:highlight w:val="none"/>
        </w:rPr>
      </w:pPr>
      <w:bookmarkStart w:id="127" w:name="_Toc7738_WPSOffice_Level1"/>
      <w:bookmarkStart w:id="128" w:name="_Toc17124_WPSOffice_Level1"/>
      <w:bookmarkStart w:id="129" w:name="_Toc31445_WPSOffice_Level1"/>
      <w:bookmarkStart w:id="130" w:name="_Toc10646_WPSOffice_Level1"/>
      <w:bookmarkStart w:id="131" w:name="_Toc19015_WPSOffice_Level1"/>
      <w:bookmarkStart w:id="132" w:name="_Toc10436_WPSOffice_Level1"/>
      <w:r>
        <w:rPr>
          <w:rFonts w:hint="eastAsia" w:ascii="Times New Roman" w:hAnsi="Times New Roman" w:eastAsia="黑体" w:cs="Times New Roman"/>
          <w:sz w:val="28"/>
          <w:szCs w:val="28"/>
          <w:highlight w:val="none"/>
          <w:lang w:val="en-US" w:eastAsia="zh-CN"/>
        </w:rPr>
        <w:t>三</w:t>
      </w:r>
      <w:r>
        <w:rPr>
          <w:rFonts w:ascii="Times New Roman" w:hAnsi="Times New Roman" w:eastAsia="黑体" w:cs="Times New Roman"/>
          <w:sz w:val="28"/>
          <w:szCs w:val="28"/>
          <w:highlight w:val="none"/>
        </w:rPr>
        <w:t>、</w:t>
      </w:r>
      <w:bookmarkStart w:id="133" w:name="_Toc27600_WPSOffice_Level2"/>
      <w:bookmarkStart w:id="134" w:name="_Toc2807_WPSOffice_Level2"/>
      <w:r>
        <w:rPr>
          <w:rFonts w:ascii="Times New Roman" w:hAnsi="Times New Roman" w:eastAsia="黑体" w:cs="Times New Roman"/>
          <w:sz w:val="28"/>
          <w:szCs w:val="28"/>
          <w:highlight w:val="none"/>
        </w:rPr>
        <w:t>供应商基本情况</w:t>
      </w:r>
      <w:bookmarkEnd w:id="127"/>
      <w:bookmarkEnd w:id="128"/>
      <w:bookmarkEnd w:id="129"/>
      <w:bookmarkEnd w:id="130"/>
      <w:bookmarkEnd w:id="131"/>
      <w:bookmarkEnd w:id="132"/>
      <w:bookmarkEnd w:id="133"/>
      <w:bookmarkEnd w:id="134"/>
    </w:p>
    <w:p>
      <w:pPr>
        <w:topLinePunct/>
        <w:spacing w:line="440" w:lineRule="exact"/>
        <w:jc w:val="center"/>
        <w:rPr>
          <w:rFonts w:ascii="Times New Roman" w:hAnsi="Times New Roman" w:cs="Times New Roman"/>
          <w:sz w:val="23"/>
          <w:szCs w:val="23"/>
          <w:highlight w:val="none"/>
        </w:rPr>
      </w:pPr>
    </w:p>
    <w:tbl>
      <w:tblPr>
        <w:tblStyle w:val="2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w:t>
            </w:r>
            <w:r>
              <w:rPr>
                <w:rFonts w:hint="eastAsia" w:ascii="Times New Roman" w:hAnsi="Times New Roman" w:cs="Times New Roman"/>
                <w:szCs w:val="21"/>
                <w:highlight w:val="none"/>
              </w:rPr>
              <w:t xml:space="preserve"> </w:t>
            </w:r>
            <w:r>
              <w:rPr>
                <w:rFonts w:ascii="Times New Roman" w:hAnsi="Times New Roman" w:cs="Times New Roman"/>
                <w:szCs w:val="21"/>
                <w:highlight w:val="none"/>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电子</w:t>
            </w:r>
            <w:r>
              <w:rPr>
                <w:rFonts w:hint="eastAsia" w:ascii="Times New Roman" w:hAnsi="Times New Roman" w:cs="Times New Roman"/>
                <w:szCs w:val="21"/>
                <w:highlight w:val="none"/>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highlight w:val="none"/>
              </w:rPr>
            </w:pPr>
          </w:p>
          <w:p>
            <w:pPr>
              <w:topLinePunct/>
              <w:spacing w:line="440" w:lineRule="exact"/>
              <w:jc w:val="center"/>
              <w:rPr>
                <w:rFonts w:ascii="Times New Roman" w:hAnsi="Times New Roman" w:cs="Times New Roman"/>
                <w:szCs w:val="21"/>
                <w:highlight w:val="none"/>
              </w:rPr>
            </w:pPr>
          </w:p>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highlight w:val="none"/>
              </w:rPr>
            </w:pPr>
          </w:p>
        </w:tc>
      </w:tr>
    </w:tbl>
    <w:p>
      <w:pPr>
        <w:widowControl/>
        <w:autoSpaceDE w:val="0"/>
        <w:autoSpaceDN w:val="0"/>
        <w:spacing w:line="360" w:lineRule="atLeast"/>
        <w:ind w:left="180"/>
        <w:textAlignment w:val="bottom"/>
        <w:rPr>
          <w:rFonts w:ascii="Times New Roman" w:hAnsi="Times New Roman" w:eastAsia="黑体" w:cs="Times New Roman"/>
          <w:sz w:val="21"/>
          <w:szCs w:val="21"/>
          <w:highlight w:val="none"/>
        </w:rPr>
      </w:pPr>
      <w:r>
        <w:rPr>
          <w:rFonts w:ascii="Times New Roman" w:hAnsi="Times New Roman" w:eastAsia="黑体" w:cs="Times New Roman"/>
          <w:szCs w:val="21"/>
          <w:highlight w:val="none"/>
        </w:rPr>
        <w:t>注：</w:t>
      </w:r>
      <w:r>
        <w:rPr>
          <w:rFonts w:hint="eastAsia" w:ascii="Times New Roman" w:hAnsi="Times New Roman" w:eastAsia="黑体" w:cs="Times New Roman"/>
          <w:sz w:val="21"/>
          <w:szCs w:val="21"/>
          <w:highlight w:val="none"/>
        </w:rPr>
        <w:t>在本表后应附企业法人营业执照、代理证书/品牌授权书及资格审查要求的其他证件复印件。</w:t>
      </w:r>
    </w:p>
    <w:p>
      <w:pPr>
        <w:keepNext w:val="0"/>
        <w:keepLines w:val="0"/>
        <w:pageBreakBefore w:val="0"/>
        <w:widowControl/>
        <w:kinsoku/>
        <w:wordWrap/>
        <w:overflowPunct/>
        <w:topLinePunct w:val="0"/>
        <w:autoSpaceDE w:val="0"/>
        <w:autoSpaceDN w:val="0"/>
        <w:bidi w:val="0"/>
        <w:adjustRightInd/>
        <w:snapToGrid/>
        <w:spacing w:line="360" w:lineRule="atLeast"/>
        <w:ind w:left="420" w:leftChars="200" w:firstLine="420" w:firstLineChars="200"/>
        <w:textAlignment w:val="bottom"/>
        <w:rPr>
          <w:rFonts w:ascii="Times New Roman" w:hAnsi="Times New Roman" w:eastAsia="黑体" w:cs="Times New Roman"/>
          <w:szCs w:val="21"/>
          <w:highlight w:val="none"/>
        </w:rPr>
      </w:pPr>
    </w:p>
    <w:p>
      <w:pPr>
        <w:spacing w:line="360" w:lineRule="auto"/>
        <w:ind w:firstLine="2520" w:firstLineChars="1200"/>
        <w:rPr>
          <w:rFonts w:hint="eastAsia" w:hAnsi="宋体" w:cs="宋体"/>
          <w:bCs/>
          <w:color w:val="auto"/>
          <w:highlight w:val="none"/>
        </w:rPr>
      </w:pPr>
      <w:r>
        <w:rPr>
          <w:rFonts w:ascii="Times New Roman" w:hAnsi="Times New Roman" w:eastAsia="黑体" w:cs="Times New Roman"/>
          <w:szCs w:val="21"/>
          <w:highlight w:val="none"/>
        </w:rPr>
        <w:br w:type="page"/>
      </w:r>
    </w:p>
    <w:p>
      <w:pPr>
        <w:bidi w:val="0"/>
        <w:jc w:val="center"/>
        <w:rPr>
          <w:rFonts w:hint="eastAsia" w:ascii="黑体" w:hAnsi="黑体" w:eastAsia="黑体" w:cs="黑体"/>
          <w:color w:val="auto"/>
          <w:sz w:val="28"/>
          <w:szCs w:val="28"/>
          <w:highlight w:val="none"/>
        </w:rPr>
      </w:pPr>
      <w:bookmarkStart w:id="135" w:name="_Toc18547_WPSOffice_Level1"/>
      <w:bookmarkStart w:id="136" w:name="_Toc19004_WPSOffice_Level1"/>
      <w:bookmarkStart w:id="137" w:name="_Toc5072_WPSOffice_Level1"/>
      <w:bookmarkStart w:id="138" w:name="_Toc3772_WPSOffice_Level1"/>
      <w:bookmarkStart w:id="139" w:name="_Toc1452_WPSOffice_Level1"/>
      <w:bookmarkStart w:id="140" w:name="_Toc3912"/>
      <w:r>
        <w:rPr>
          <w:rFonts w:hint="eastAsia" w:ascii="黑体" w:hAnsi="黑体" w:eastAsia="黑体" w:cs="黑体"/>
          <w:color w:val="auto"/>
          <w:sz w:val="28"/>
          <w:szCs w:val="28"/>
          <w:highlight w:val="none"/>
          <w:lang w:val="en-US" w:eastAsia="zh-CN"/>
        </w:rPr>
        <w:t>四</w:t>
      </w:r>
      <w:r>
        <w:rPr>
          <w:rFonts w:hint="eastAsia" w:ascii="黑体" w:hAnsi="黑体" w:eastAsia="黑体" w:cs="黑体"/>
          <w:color w:val="auto"/>
          <w:sz w:val="28"/>
          <w:szCs w:val="28"/>
          <w:highlight w:val="none"/>
        </w:rPr>
        <w:t>、近年类似业绩情况</w:t>
      </w:r>
      <w:bookmarkEnd w:id="135"/>
      <w:bookmarkEnd w:id="136"/>
      <w:bookmarkEnd w:id="137"/>
      <w:bookmarkEnd w:id="138"/>
      <w:bookmarkEnd w:id="139"/>
      <w:bookmarkEnd w:id="140"/>
    </w:p>
    <w:p>
      <w:pPr>
        <w:pStyle w:val="3"/>
        <w:rPr>
          <w:rFonts w:hint="eastAsia"/>
          <w:highlight w:val="none"/>
        </w:rPr>
      </w:pPr>
    </w:p>
    <w:tbl>
      <w:tblPr>
        <w:tblStyle w:val="2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项目名称</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w:t>
            </w:r>
            <w:r>
              <w:rPr>
                <w:rFonts w:ascii="Times New Roman" w:hAnsi="Times New Roman" w:cs="Times New Roman"/>
                <w:szCs w:val="21"/>
                <w:highlight w:val="none"/>
              </w:rPr>
              <w:t>名称</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业主代表姓名</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rPr>
              <w:t>业主代表</w:t>
            </w:r>
            <w:r>
              <w:rPr>
                <w:rFonts w:ascii="Times New Roman" w:hAnsi="Times New Roman" w:cs="Times New Roman"/>
                <w:szCs w:val="21"/>
                <w:highlight w:val="none"/>
              </w:rPr>
              <w:t>电话</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合同价格</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hint="eastAsia" w:ascii="Times New Roman" w:hAnsi="Times New Roman" w:cs="Times New Roman"/>
                <w:szCs w:val="21"/>
                <w:highlight w:val="none"/>
                <w:lang w:val="en-US" w:eastAsia="zh-CN"/>
              </w:rPr>
              <w:t>供货</w:t>
            </w:r>
            <w:r>
              <w:rPr>
                <w:rFonts w:hint="eastAsia" w:ascii="Times New Roman" w:hAnsi="Times New Roman" w:cs="Times New Roman"/>
                <w:szCs w:val="21"/>
                <w:highlight w:val="none"/>
              </w:rPr>
              <w:t>内容</w:t>
            </w:r>
            <w:r>
              <w:rPr>
                <w:rFonts w:ascii="Times New Roman" w:hAnsi="Times New Roman" w:cs="Times New Roman"/>
                <w:szCs w:val="21"/>
                <w:highlight w:val="none"/>
              </w:rPr>
              <w:t>描述</w:t>
            </w:r>
          </w:p>
        </w:tc>
        <w:tc>
          <w:tcPr>
            <w:tcW w:w="6258" w:type="dxa"/>
          </w:tcPr>
          <w:p>
            <w:pPr>
              <w:topLinePunct/>
              <w:spacing w:line="440" w:lineRule="exact"/>
              <w:rPr>
                <w:rFonts w:ascii="Times New Roman" w:hAnsi="Times New Roman"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highlight w:val="none"/>
              </w:rPr>
            </w:pPr>
            <w:r>
              <w:rPr>
                <w:rFonts w:ascii="Times New Roman" w:hAnsi="Times New Roman" w:cs="Times New Roman"/>
                <w:szCs w:val="21"/>
                <w:highlight w:val="none"/>
              </w:rPr>
              <w:t>备注</w:t>
            </w:r>
          </w:p>
        </w:tc>
        <w:tc>
          <w:tcPr>
            <w:tcW w:w="6258" w:type="dxa"/>
          </w:tcPr>
          <w:p>
            <w:pPr>
              <w:topLinePunct/>
              <w:spacing w:line="440" w:lineRule="exact"/>
              <w:rPr>
                <w:rFonts w:ascii="Times New Roman" w:hAnsi="Times New Roman" w:cs="Times New Roman"/>
                <w:szCs w:val="21"/>
                <w:highlight w:val="none"/>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t>注：</w:t>
      </w:r>
    </w:p>
    <w:p>
      <w:pPr>
        <w:keepNext w:val="0"/>
        <w:keepLines w:val="0"/>
        <w:pageBreakBefore w:val="0"/>
        <w:widowControl/>
        <w:numPr>
          <w:ilvl w:val="0"/>
          <w:numId w:val="7"/>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highlight w:val="none"/>
        </w:rPr>
      </w:pPr>
      <w:r>
        <w:rPr>
          <w:rFonts w:hint="eastAsia" w:ascii="黑体" w:hAnsi="黑体" w:eastAsia="黑体" w:cs="黑体"/>
          <w:sz w:val="21"/>
          <w:szCs w:val="21"/>
          <w:highlight w:val="none"/>
        </w:rPr>
        <w:t>每张表格只填写一个项目，并标明序号。</w:t>
      </w:r>
    </w:p>
    <w:p>
      <w:pPr>
        <w:keepNext w:val="0"/>
        <w:keepLines w:val="0"/>
        <w:pageBreakBefore w:val="0"/>
        <w:widowControl/>
        <w:numPr>
          <w:ilvl w:val="0"/>
          <w:numId w:val="7"/>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none"/>
        </w:rPr>
        <w:t>业绩证明材料要求：</w:t>
      </w:r>
      <w:r>
        <w:rPr>
          <w:rFonts w:hint="eastAsia" w:ascii="黑体" w:hAnsi="黑体" w:eastAsia="黑体" w:cs="黑体"/>
          <w:sz w:val="21"/>
          <w:szCs w:val="21"/>
          <w:highlight w:val="none"/>
          <w:u w:val="single"/>
          <w:lang w:val="en-US" w:eastAsia="zh-CN"/>
        </w:rPr>
        <w:t>详见业绩最低要求</w:t>
      </w:r>
      <w:r>
        <w:rPr>
          <w:rFonts w:hint="eastAsia" w:ascii="黑体" w:hAnsi="黑体" w:eastAsia="黑体" w:cs="黑体"/>
          <w:sz w:val="21"/>
          <w:szCs w:val="21"/>
          <w:highlight w:val="none"/>
          <w:lang w:val="en-US" w:eastAsia="zh-CN"/>
        </w:rPr>
        <w:t>。</w:t>
      </w:r>
    </w:p>
    <w:p>
      <w:pPr>
        <w:keepNext w:val="0"/>
        <w:keepLines w:val="0"/>
        <w:pageBreakBefore w:val="0"/>
        <w:widowControl/>
        <w:numPr>
          <w:ilvl w:val="0"/>
          <w:numId w:val="7"/>
        </w:numPr>
        <w:kinsoku/>
        <w:wordWrap/>
        <w:overflowPunct/>
        <w:topLinePunct w:val="0"/>
        <w:autoSpaceDE w:val="0"/>
        <w:autoSpaceDN w:val="0"/>
        <w:bidi w:val="0"/>
        <w:adjustRightInd/>
        <w:snapToGrid/>
        <w:spacing w:line="320" w:lineRule="exact"/>
        <w:ind w:left="0" w:leftChars="0" w:firstLine="420" w:firstLineChars="200"/>
        <w:textAlignment w:val="bottom"/>
        <w:rPr>
          <w:rFonts w:hint="eastAsia" w:ascii="黑体" w:hAnsi="黑体" w:eastAsia="黑体" w:cs="黑体"/>
          <w:sz w:val="21"/>
          <w:szCs w:val="21"/>
          <w:highlight w:val="none"/>
          <w:lang w:val="en-US" w:eastAsia="zh-CN"/>
        </w:rPr>
      </w:pPr>
      <w:r>
        <w:rPr>
          <w:rFonts w:hint="eastAsia" w:ascii="黑体" w:hAnsi="黑体" w:eastAsia="黑体" w:cs="黑体"/>
          <w:sz w:val="21"/>
          <w:szCs w:val="21"/>
          <w:highlight w:val="yellow"/>
          <w:lang w:val="en-US" w:eastAsia="zh-CN"/>
        </w:rPr>
        <w:t>资格审查业绩不作为商务及技术文件评审业</w:t>
      </w:r>
      <w:r>
        <w:rPr>
          <w:rFonts w:hint="eastAsia" w:ascii="黑体" w:hAnsi="黑体" w:eastAsia="黑体" w:cs="黑体"/>
          <w:sz w:val="21"/>
          <w:szCs w:val="21"/>
          <w:highlight w:val="none"/>
          <w:lang w:val="en-US" w:eastAsia="zh-CN"/>
        </w:rPr>
        <w:t>绩。</w:t>
      </w:r>
    </w:p>
    <w:p>
      <w:pPr>
        <w:keepNext w:val="0"/>
        <w:keepLines w:val="0"/>
        <w:pageBreakBefore w:val="0"/>
        <w:widowControl/>
        <w:numPr>
          <w:ilvl w:val="0"/>
          <w:numId w:val="7"/>
        </w:numPr>
        <w:kinsoku/>
        <w:wordWrap/>
        <w:overflowPunct/>
        <w:topLinePunct w:val="0"/>
        <w:autoSpaceDE w:val="0"/>
        <w:autoSpaceDN w:val="0"/>
        <w:bidi w:val="0"/>
        <w:adjustRightInd/>
        <w:snapToGrid/>
        <w:spacing w:line="320" w:lineRule="exact"/>
        <w:ind w:left="0" w:leftChars="0" w:firstLine="420" w:firstLineChars="200"/>
        <w:textAlignment w:val="bottom"/>
        <w:rPr>
          <w:rFonts w:hint="default"/>
          <w:highlight w:val="yellow"/>
          <w:lang w:val="en-US" w:eastAsia="zh-CN"/>
        </w:rPr>
      </w:pPr>
      <w:r>
        <w:rPr>
          <w:rFonts w:hint="eastAsia" w:ascii="黑体" w:hAnsi="黑体" w:eastAsia="黑体" w:cs="黑体"/>
          <w:sz w:val="21"/>
          <w:szCs w:val="21"/>
          <w:highlight w:val="yellow"/>
          <w:lang w:val="en-US" w:eastAsia="zh-CN"/>
        </w:rPr>
        <w:t>未在表中备注列明的资格审查业绩均不作为资格审查供应商业绩予以评审。</w:t>
      </w:r>
    </w:p>
    <w:p>
      <w:pPr>
        <w:keepNext w:val="0"/>
        <w:keepLines w:val="0"/>
        <w:pageBreakBefore w:val="0"/>
        <w:widowControl/>
        <w:numPr>
          <w:ilvl w:val="0"/>
          <w:numId w:val="0"/>
        </w:numPr>
        <w:kinsoku/>
        <w:wordWrap/>
        <w:overflowPunct/>
        <w:topLinePunct w:val="0"/>
        <w:autoSpaceDE w:val="0"/>
        <w:autoSpaceDN w:val="0"/>
        <w:bidi w:val="0"/>
        <w:adjustRightInd/>
        <w:snapToGrid/>
        <w:spacing w:line="320" w:lineRule="exact"/>
        <w:ind w:left="0" w:leftChars="0" w:firstLine="420" w:firstLineChars="200"/>
        <w:textAlignment w:val="bottom"/>
        <w:rPr>
          <w:rFonts w:ascii="Times New Roman" w:hAnsi="Times New Roman" w:cs="Times New Roman"/>
          <w:bCs/>
          <w:kern w:val="0"/>
          <w:sz w:val="20"/>
          <w:szCs w:val="20"/>
          <w:highlight w:val="none"/>
        </w:rPr>
      </w:pPr>
      <w:r>
        <w:rPr>
          <w:rFonts w:hint="eastAsia" w:ascii="黑体" w:hAnsi="黑体" w:eastAsia="黑体" w:cs="黑体"/>
          <w:sz w:val="21"/>
          <w:szCs w:val="21"/>
          <w:highlight w:val="none"/>
          <w:lang w:val="en-US" w:eastAsia="zh-CN"/>
        </w:rPr>
        <w:t>5</w:t>
      </w:r>
      <w:r>
        <w:rPr>
          <w:rFonts w:hint="eastAsia" w:ascii="黑体" w:hAnsi="黑体" w:eastAsia="黑体" w:cs="黑体"/>
          <w:sz w:val="21"/>
          <w:szCs w:val="21"/>
          <w:highlight w:val="none"/>
        </w:rPr>
        <w:t>、如近年来，供应商法人机构发生合法变更或重组或法人名称变更时，应提供相关部门的合法批件或其他相关证明材料来证明其所附业绩的继承性。</w:t>
      </w:r>
      <w:r>
        <w:rPr>
          <w:rFonts w:ascii="Times New Roman" w:hAnsi="Times New Roman" w:eastAsia="黑体" w:cs="Times New Roman"/>
          <w:bCs/>
          <w:kern w:val="0"/>
          <w:szCs w:val="21"/>
          <w:highlight w:val="none"/>
        </w:rPr>
        <w:br w:type="page"/>
      </w:r>
    </w:p>
    <w:p>
      <w:pPr>
        <w:bidi w:val="0"/>
        <w:jc w:val="center"/>
        <w:rPr>
          <w:rFonts w:ascii="Times New Roman" w:hAnsi="Times New Roman" w:cs="Times New Roman"/>
          <w:bCs/>
          <w:sz w:val="23"/>
          <w:szCs w:val="23"/>
          <w:highlight w:val="none"/>
        </w:rPr>
      </w:pPr>
      <w:bookmarkStart w:id="141" w:name="_Toc26594_WPSOffice_Level1"/>
      <w:bookmarkStart w:id="142" w:name="_Toc3893_WPSOffice_Level1"/>
      <w:bookmarkStart w:id="143" w:name="_Toc10810_WPSOffice_Level1"/>
      <w:bookmarkStart w:id="144" w:name="_Toc5403_WPSOffice_Level1"/>
      <w:bookmarkStart w:id="145" w:name="_Toc12019_WPSOffice_Level1"/>
      <w:bookmarkStart w:id="146" w:name="_Toc5889_WPSOffice_Level1"/>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、信誉情况</w:t>
      </w:r>
      <w:bookmarkEnd w:id="141"/>
      <w:bookmarkEnd w:id="142"/>
      <w:bookmarkEnd w:id="143"/>
      <w:bookmarkEnd w:id="144"/>
      <w:bookmarkEnd w:id="145"/>
      <w:bookmarkEnd w:id="146"/>
    </w:p>
    <w:p>
      <w:pPr>
        <w:topLinePunct/>
        <w:spacing w:line="440" w:lineRule="exact"/>
        <w:rPr>
          <w:rFonts w:ascii="Times New Roman" w:hAnsi="Times New Roman" w:cs="Times New Roman"/>
          <w:bCs/>
          <w:sz w:val="23"/>
          <w:szCs w:val="23"/>
          <w:highlight w:val="none"/>
        </w:rPr>
      </w:pPr>
    </w:p>
    <w:tbl>
      <w:tblPr>
        <w:tblStyle w:val="21"/>
        <w:tblW w:w="0" w:type="auto"/>
        <w:jc w:val="center"/>
        <w:tblLayout w:type="fixed"/>
        <w:tblCellMar>
          <w:top w:w="0" w:type="dxa"/>
          <w:left w:w="108" w:type="dxa"/>
          <w:bottom w:w="0" w:type="dxa"/>
          <w:right w:w="108" w:type="dxa"/>
        </w:tblCellMar>
      </w:tblPr>
      <w:tblGrid>
        <w:gridCol w:w="5104"/>
        <w:gridCol w:w="3968"/>
      </w:tblGrid>
      <w:tr>
        <w:tblPrEx>
          <w:tblCellMar>
            <w:top w:w="0" w:type="dxa"/>
            <w:left w:w="108" w:type="dxa"/>
            <w:bottom w:w="0" w:type="dxa"/>
            <w:right w:w="108" w:type="dxa"/>
          </w:tblCellMar>
        </w:tblPrEx>
        <w:trPr>
          <w:trHeight w:val="622" w:hRule="atLeast"/>
          <w:jc w:val="center"/>
        </w:trPr>
        <w:tc>
          <w:tcPr>
            <w:tcW w:w="5104"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sz w:val="22"/>
                <w:szCs w:val="22"/>
                <w:highlight w:val="none"/>
              </w:rPr>
            </w:pPr>
            <w:r>
              <w:rPr>
                <w:rFonts w:hint="eastAsia"/>
                <w:sz w:val="22"/>
                <w:szCs w:val="22"/>
                <w:highlight w:val="none"/>
              </w:rPr>
              <w:t>项  目</w:t>
            </w:r>
          </w:p>
        </w:tc>
        <w:tc>
          <w:tcPr>
            <w:tcW w:w="3968" w:type="dxa"/>
            <w:tcBorders>
              <w:top w:val="single" w:color="auto" w:sz="12" w:space="0"/>
              <w:left w:val="single" w:color="auto" w:sz="4" w:space="0"/>
              <w:bottom w:val="single" w:color="auto" w:sz="4" w:space="0"/>
              <w:right w:val="single" w:color="auto" w:sz="12" w:space="0"/>
            </w:tcBorders>
            <w:noWrap w:val="0"/>
            <w:vAlign w:val="center"/>
          </w:tcPr>
          <w:p>
            <w:pPr>
              <w:spacing w:line="400" w:lineRule="exact"/>
              <w:jc w:val="center"/>
              <w:rPr>
                <w:sz w:val="22"/>
                <w:szCs w:val="22"/>
                <w:highlight w:val="none"/>
              </w:rPr>
            </w:pPr>
            <w:r>
              <w:rPr>
                <w:rFonts w:hint="eastAsia"/>
                <w:sz w:val="22"/>
                <w:szCs w:val="22"/>
                <w:highlight w:val="none"/>
              </w:rPr>
              <w:t>投标人情况说明</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spacing w:line="400" w:lineRule="exact"/>
              <w:jc w:val="left"/>
              <w:rPr>
                <w:rFonts w:eastAsia="黑体"/>
                <w:sz w:val="22"/>
                <w:szCs w:val="22"/>
                <w:highlight w:val="none"/>
              </w:rPr>
            </w:pPr>
            <w:r>
              <w:rPr>
                <w:rFonts w:hint="eastAsia"/>
                <w:sz w:val="22"/>
                <w:szCs w:val="22"/>
                <w:highlight w:val="none"/>
              </w:rPr>
              <w:t>（1</w:t>
            </w:r>
            <w:r>
              <w:rPr>
                <w:rFonts w:hint="eastAsia" w:hAnsi="宋体"/>
                <w:sz w:val="22"/>
                <w:szCs w:val="22"/>
                <w:highlight w:val="none"/>
              </w:rPr>
              <w:t>）</w:t>
            </w:r>
            <w:r>
              <w:rPr>
                <w:rFonts w:hint="eastAsia"/>
                <w:sz w:val="22"/>
                <w:highlight w:val="none"/>
              </w:rPr>
              <w:t>投标人或其法定代表人在近三年内有行贿犯罪行为</w:t>
            </w:r>
            <w:r>
              <w:rPr>
                <w:rFonts w:hint="eastAsia" w:hAnsi="宋体"/>
                <w:sz w:val="22"/>
                <w:szCs w:val="21"/>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680"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spacing w:line="400" w:lineRule="exact"/>
              <w:rPr>
                <w:rFonts w:eastAsia="黑体"/>
                <w:sz w:val="22"/>
                <w:szCs w:val="22"/>
                <w:highlight w:val="none"/>
              </w:rPr>
            </w:pPr>
            <w:r>
              <w:rPr>
                <w:rFonts w:hint="eastAsia" w:hAnsi="宋体"/>
                <w:sz w:val="22"/>
                <w:szCs w:val="22"/>
                <w:highlight w:val="none"/>
              </w:rPr>
              <w:t>（</w:t>
            </w:r>
            <w:r>
              <w:rPr>
                <w:rFonts w:hint="eastAsia"/>
                <w:sz w:val="22"/>
                <w:szCs w:val="22"/>
                <w:highlight w:val="none"/>
              </w:rPr>
              <w:t>2</w:t>
            </w:r>
            <w:r>
              <w:rPr>
                <w:rFonts w:hint="eastAsia" w:hAnsi="宋体"/>
                <w:sz w:val="22"/>
                <w:szCs w:val="22"/>
                <w:highlight w:val="none"/>
              </w:rPr>
              <w:t>）</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5"/>
                <w:color w:val="auto"/>
                <w:sz w:val="22"/>
                <w:szCs w:val="22"/>
                <w:highlight w:val="none"/>
              </w:rPr>
              <w:t>在</w:t>
            </w:r>
            <w:r>
              <w:rPr>
                <w:rStyle w:val="25"/>
                <w:rFonts w:hint="eastAsia"/>
                <w:color w:val="auto"/>
                <w:sz w:val="22"/>
                <w:szCs w:val="22"/>
                <w:highlight w:val="none"/>
              </w:rPr>
              <w:t>“</w:t>
            </w:r>
            <w:r>
              <w:rPr>
                <w:rStyle w:val="25"/>
                <w:color w:val="auto"/>
                <w:sz w:val="22"/>
                <w:szCs w:val="22"/>
                <w:highlight w:val="none"/>
              </w:rPr>
              <w:t>信用中国</w:t>
            </w:r>
            <w:r>
              <w:rPr>
                <w:rStyle w:val="25"/>
                <w:rFonts w:hint="eastAsia"/>
                <w:color w:val="auto"/>
                <w:sz w:val="22"/>
                <w:szCs w:val="22"/>
                <w:highlight w:val="none"/>
              </w:rPr>
              <w:t>”</w:t>
            </w:r>
            <w:r>
              <w:rPr>
                <w:rStyle w:val="25"/>
                <w:color w:val="auto"/>
                <w:sz w:val="22"/>
                <w:szCs w:val="22"/>
                <w:highlight w:val="none"/>
              </w:rPr>
              <w:t>网站（http://w</w:t>
            </w:r>
            <w:r>
              <w:rPr>
                <w:sz w:val="22"/>
                <w:szCs w:val="22"/>
                <w:highlight w:val="none"/>
              </w:rPr>
              <w:fldChar w:fldCharType="end"/>
            </w:r>
            <w:r>
              <w:rPr>
                <w:sz w:val="22"/>
                <w:szCs w:val="22"/>
                <w:highlight w:val="none"/>
              </w:rPr>
              <w:t>w</w:t>
            </w:r>
            <w:r>
              <w:rPr>
                <w:sz w:val="22"/>
                <w:szCs w:val="22"/>
                <w:highlight w:val="none"/>
              </w:rPr>
              <w:fldChar w:fldCharType="begin"/>
            </w:r>
            <w:r>
              <w:rPr>
                <w:sz w:val="22"/>
                <w:szCs w:val="22"/>
                <w:highlight w:val="none"/>
              </w:rPr>
              <w:instrText xml:space="preserve"> HYPERLINK "http://www.creditchina.gov.cn/" </w:instrText>
            </w:r>
            <w:r>
              <w:rPr>
                <w:sz w:val="22"/>
                <w:szCs w:val="22"/>
                <w:highlight w:val="none"/>
              </w:rPr>
              <w:fldChar w:fldCharType="separate"/>
            </w:r>
            <w:r>
              <w:rPr>
                <w:rStyle w:val="25"/>
                <w:color w:val="auto"/>
                <w:sz w:val="22"/>
                <w:szCs w:val="22"/>
                <w:highlight w:val="none"/>
              </w:rPr>
              <w:t>w.creditchina.gov.c</w:t>
            </w:r>
            <w:r>
              <w:rPr>
                <w:sz w:val="22"/>
                <w:szCs w:val="22"/>
                <w:highlight w:val="none"/>
              </w:rPr>
              <w:fldChar w:fldCharType="end"/>
            </w:r>
            <w:r>
              <w:rPr>
                <w:sz w:val="22"/>
                <w:szCs w:val="22"/>
                <w:highlight w:val="none"/>
              </w:rPr>
              <w:t>n</w:t>
            </w:r>
            <w:r>
              <w:rPr>
                <w:rFonts w:hAnsi="宋体"/>
                <w:sz w:val="22"/>
                <w:szCs w:val="22"/>
                <w:highlight w:val="none"/>
              </w:rPr>
              <w:t>）中</w:t>
            </w:r>
            <w:r>
              <w:rPr>
                <w:rFonts w:hint="eastAsia"/>
                <w:sz w:val="22"/>
                <w:szCs w:val="22"/>
                <w:highlight w:val="none"/>
              </w:rPr>
              <w:t>被列入失信被执行人名单。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2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（3</w:t>
            </w:r>
            <w:r>
              <w:rPr>
                <w:rFonts w:hint="eastAsia" w:hAnsi="宋体"/>
                <w:sz w:val="22"/>
                <w:szCs w:val="22"/>
                <w:highlight w:val="none"/>
              </w:rPr>
              <w:t>）</w:t>
            </w:r>
            <w:r>
              <w:rPr>
                <w:rFonts w:hint="eastAsia"/>
                <w:sz w:val="22"/>
                <w:szCs w:val="22"/>
                <w:highlight w:val="none"/>
              </w:rPr>
              <w:t>最近三年内发生重大产品质量问题。</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75"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（4</w:t>
            </w:r>
            <w:r>
              <w:rPr>
                <w:rFonts w:hint="eastAsia" w:hAnsi="宋体"/>
                <w:sz w:val="22"/>
                <w:szCs w:val="22"/>
                <w:highlight w:val="none"/>
              </w:rPr>
              <w:t>）被责令停业</w:t>
            </w:r>
            <w:r>
              <w:rPr>
                <w:rFonts w:hint="eastAsia"/>
                <w:sz w:val="22"/>
                <w:szCs w:val="22"/>
                <w:highlight w:val="none"/>
              </w:rPr>
              <w:t>，暂扣或吊销执照，或吊销资质证书。</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882"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eastAsia="黑体"/>
                <w:sz w:val="22"/>
                <w:szCs w:val="22"/>
                <w:highlight w:val="none"/>
              </w:rPr>
            </w:pPr>
            <w:r>
              <w:rPr>
                <w:rFonts w:hint="eastAsia"/>
                <w:sz w:val="22"/>
                <w:szCs w:val="22"/>
                <w:highlight w:val="none"/>
              </w:rPr>
              <w:t>（5</w:t>
            </w:r>
            <w:r>
              <w:rPr>
                <w:rFonts w:hint="eastAsia" w:hAnsi="宋体"/>
                <w:sz w:val="22"/>
                <w:szCs w:val="22"/>
                <w:highlight w:val="none"/>
              </w:rPr>
              <w:t>）</w:t>
            </w:r>
            <w:r>
              <w:rPr>
                <w:rFonts w:hint="eastAsia"/>
                <w:sz w:val="22"/>
                <w:szCs w:val="22"/>
                <w:highlight w:val="none"/>
              </w:rPr>
              <w:t>进入清算程序，或被宣告破产，或其他丧失履约能力的情形</w:t>
            </w:r>
            <w:r>
              <w:rPr>
                <w:rFonts w:hint="eastAsia" w:hAnsi="宋体"/>
                <w:sz w:val="22"/>
                <w:szCs w:val="22"/>
                <w:highlight w:val="none"/>
              </w:rPr>
              <w:t>。</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587"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sz w:val="22"/>
                <w:szCs w:val="22"/>
                <w:highlight w:val="none"/>
              </w:rPr>
            </w:pPr>
            <w:r>
              <w:rPr>
                <w:rFonts w:hint="eastAsia"/>
                <w:sz w:val="22"/>
                <w:szCs w:val="22"/>
                <w:highlight w:val="none"/>
              </w:rPr>
              <w:t>（6）</w:t>
            </w:r>
            <w:r>
              <w:rPr>
                <w:sz w:val="22"/>
                <w:szCs w:val="21"/>
                <w:highlight w:val="none"/>
              </w:rPr>
              <w:t>投标人正受到在本招标项目所在地市级行政区域内取消投标资格的行政处罚。</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wordWrap w:val="0"/>
              <w:jc w:val="left"/>
              <w:rPr>
                <w:rFonts w:hAnsi="宋体"/>
                <w:sz w:val="22"/>
                <w:szCs w:val="22"/>
                <w:highlight w:val="none"/>
              </w:rPr>
            </w:pPr>
            <w:r>
              <w:rPr>
                <w:rFonts w:hint="eastAsia" w:hAnsi="宋体"/>
                <w:sz w:val="22"/>
                <w:szCs w:val="22"/>
                <w:highlight w:val="none"/>
              </w:rPr>
              <w:t>（7）在</w:t>
            </w:r>
            <w:r>
              <w:rPr>
                <w:rFonts w:hint="eastAsia"/>
                <w:sz w:val="22"/>
                <w:szCs w:val="22"/>
                <w:highlight w:val="none"/>
              </w:rPr>
              <w:t>国家企业信用信息公示系统（http://www.gsxt.gov.cn）中被列入严重违法失信企业名单。</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eastAsia="黑体"/>
                <w:sz w:val="22"/>
                <w:szCs w:val="22"/>
                <w:highlight w:val="none"/>
              </w:rPr>
            </w:pPr>
            <w:r>
              <w:rPr>
                <w:rFonts w:hint="eastAsia" w:ascii="宋体" w:hAnsi="宋体" w:cs="宋体"/>
                <w:sz w:val="22"/>
                <w:szCs w:val="22"/>
                <w:highlight w:val="none"/>
              </w:rPr>
              <w:t>□</w:t>
            </w:r>
            <w:r>
              <w:rPr>
                <w:rFonts w:hint="eastAsia" w:hAnsi="宋体"/>
                <w:sz w:val="22"/>
                <w:szCs w:val="22"/>
                <w:highlight w:val="none"/>
              </w:rPr>
              <w:t xml:space="preserve">有    </w:t>
            </w:r>
            <w:r>
              <w:rPr>
                <w:rFonts w:hint="eastAsia" w:ascii="宋体" w:hAnsi="宋体" w:cs="宋体"/>
                <w:sz w:val="22"/>
                <w:szCs w:val="22"/>
                <w:highlight w:val="none"/>
              </w:rPr>
              <w:t>□</w:t>
            </w:r>
            <w:r>
              <w:rPr>
                <w:rFonts w:hint="eastAsia" w:hAnsi="宋体"/>
                <w:sz w:val="22"/>
                <w:szCs w:val="22"/>
                <w:highlight w:val="none"/>
              </w:rPr>
              <w:t>无</w:t>
            </w:r>
          </w:p>
        </w:tc>
      </w:tr>
      <w:tr>
        <w:tblPrEx>
          <w:tblCellMar>
            <w:top w:w="0" w:type="dxa"/>
            <w:left w:w="108" w:type="dxa"/>
            <w:bottom w:w="0" w:type="dxa"/>
            <w:right w:w="108" w:type="dxa"/>
          </w:tblCellMar>
        </w:tblPrEx>
        <w:trPr>
          <w:trHeight w:val="708" w:hRule="atLeast"/>
          <w:jc w:val="center"/>
        </w:trPr>
        <w:tc>
          <w:tcPr>
            <w:tcW w:w="5104" w:type="dxa"/>
            <w:tcBorders>
              <w:top w:val="single" w:color="auto" w:sz="4" w:space="0"/>
              <w:left w:val="single" w:color="auto" w:sz="12" w:space="0"/>
              <w:bottom w:val="single" w:color="auto" w:sz="4" w:space="0"/>
              <w:right w:val="single" w:color="auto" w:sz="4" w:space="0"/>
            </w:tcBorders>
            <w:noWrap w:val="0"/>
            <w:vAlign w:val="center"/>
          </w:tcPr>
          <w:p>
            <w:pPr>
              <w:jc w:val="left"/>
              <w:rPr>
                <w:rFonts w:hint="eastAsia" w:hAnsi="宋体"/>
                <w:sz w:val="22"/>
                <w:szCs w:val="22"/>
                <w:highlight w:val="none"/>
              </w:rPr>
            </w:pPr>
            <w:r>
              <w:rPr>
                <w:rFonts w:hint="eastAsia" w:hAnsi="宋体"/>
                <w:sz w:val="22"/>
                <w:szCs w:val="22"/>
                <w:highlight w:val="none"/>
              </w:rPr>
              <w:t>（8）法律法规规定的其他情形。</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pacing w:line="400" w:lineRule="exact"/>
              <w:jc w:val="center"/>
              <w:rPr>
                <w:rFonts w:hint="eastAsia" w:ascii="宋体" w:hAnsi="宋体" w:cs="宋体"/>
                <w:sz w:val="22"/>
                <w:szCs w:val="22"/>
                <w:highlight w:val="none"/>
              </w:rPr>
            </w:pPr>
          </w:p>
        </w:tc>
      </w:tr>
    </w:tbl>
    <w:p>
      <w:pPr>
        <w:autoSpaceDE w:val="0"/>
        <w:snapToGrid w:val="0"/>
        <w:ind w:right="109" w:rightChars="52"/>
        <w:rPr>
          <w:rFonts w:hint="eastAsia" w:ascii="宋体" w:hAnsi="宋体"/>
          <w:szCs w:val="21"/>
          <w:highlight w:val="none"/>
        </w:rPr>
      </w:pPr>
      <w:r>
        <w:rPr>
          <w:rFonts w:ascii="宋体" w:hAnsi="宋体"/>
          <w:szCs w:val="21"/>
          <w:highlight w:val="none"/>
        </w:rPr>
        <w:t>注：1.本表后应附：</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（1）投标人在全国企业信用信息公示系统中未被列入严重违法失信企业名单的网页截图；</w:t>
      </w:r>
    </w:p>
    <w:p>
      <w:pPr>
        <w:autoSpaceDE w:val="0"/>
        <w:snapToGrid w:val="0"/>
        <w:ind w:right="109" w:rightChars="52" w:firstLine="420" w:firstLineChars="200"/>
        <w:rPr>
          <w:rFonts w:ascii="宋体" w:hAnsi="宋体"/>
          <w:szCs w:val="21"/>
          <w:highlight w:val="none"/>
        </w:rPr>
      </w:pPr>
      <w:r>
        <w:rPr>
          <w:rFonts w:ascii="宋体" w:hAnsi="宋体"/>
          <w:szCs w:val="21"/>
          <w:highlight w:val="none"/>
        </w:rPr>
        <w:t>（2）投标人在</w:t>
      </w:r>
      <w:r>
        <w:rPr>
          <w:rFonts w:ascii="宋体" w:hAnsi="宋体"/>
          <w:szCs w:val="21"/>
          <w:highlight w:val="none"/>
        </w:rPr>
        <w:fldChar w:fldCharType="begin"/>
      </w:r>
      <w:r>
        <w:rPr>
          <w:rFonts w:ascii="宋体" w:hAnsi="宋体"/>
          <w:szCs w:val="21"/>
          <w:highlight w:val="none"/>
        </w:rPr>
        <w:instrText xml:space="preserve"> HYPERLINK "http://www.creditchina.gov.cn/" </w:instrText>
      </w:r>
      <w:r>
        <w:rPr>
          <w:rFonts w:ascii="宋体" w:hAnsi="宋体"/>
          <w:szCs w:val="21"/>
          <w:highlight w:val="none"/>
        </w:rPr>
        <w:fldChar w:fldCharType="separate"/>
      </w:r>
      <w:r>
        <w:rPr>
          <w:rStyle w:val="25"/>
          <w:rFonts w:hint="eastAsia" w:ascii="宋体" w:hAnsi="宋体"/>
          <w:color w:val="auto"/>
          <w:szCs w:val="21"/>
          <w:highlight w:val="none"/>
          <w:u w:val="none"/>
        </w:rPr>
        <w:t>“</w:t>
      </w:r>
      <w:r>
        <w:rPr>
          <w:rStyle w:val="25"/>
          <w:rFonts w:ascii="宋体" w:hAnsi="宋体"/>
          <w:color w:val="auto"/>
          <w:szCs w:val="21"/>
          <w:highlight w:val="none"/>
          <w:u w:val="none"/>
        </w:rPr>
        <w:t>信用中国</w:t>
      </w:r>
      <w:r>
        <w:rPr>
          <w:rStyle w:val="25"/>
          <w:rFonts w:hint="eastAsia" w:ascii="宋体" w:hAnsi="宋体"/>
          <w:color w:val="auto"/>
          <w:szCs w:val="21"/>
          <w:highlight w:val="none"/>
          <w:u w:val="none"/>
        </w:rPr>
        <w:t>”</w:t>
      </w:r>
      <w:r>
        <w:rPr>
          <w:rStyle w:val="25"/>
          <w:rFonts w:ascii="宋体" w:hAnsi="宋体"/>
          <w:color w:val="auto"/>
          <w:szCs w:val="21"/>
          <w:highlight w:val="none"/>
          <w:u w:val="none"/>
        </w:rPr>
        <w:t>网站中未被列入失信被执行人名单的网页截图</w:t>
      </w:r>
      <w:r>
        <w:rPr>
          <w:rFonts w:ascii="宋体" w:hAnsi="宋体"/>
          <w:szCs w:val="21"/>
          <w:highlight w:val="none"/>
        </w:rPr>
        <w:fldChar w:fldCharType="end"/>
      </w:r>
      <w:r>
        <w:rPr>
          <w:rFonts w:ascii="宋体" w:hAnsi="宋体"/>
          <w:szCs w:val="21"/>
          <w:highlight w:val="none"/>
        </w:rPr>
        <w:t>；</w:t>
      </w:r>
    </w:p>
    <w:p>
      <w:pPr>
        <w:autoSpaceDE w:val="0"/>
        <w:snapToGrid w:val="0"/>
        <w:ind w:left="15" w:leftChars="7" w:right="109" w:rightChars="52" w:firstLine="403" w:firstLineChars="192"/>
        <w:jc w:val="left"/>
        <w:rPr>
          <w:rFonts w:hint="eastAsia" w:ascii="宋体" w:hAnsi="宋体" w:cs="宋体"/>
          <w:sz w:val="22"/>
          <w:szCs w:val="18"/>
          <w:highlight w:val="none"/>
        </w:rPr>
      </w:pPr>
      <w:r>
        <w:rPr>
          <w:rFonts w:ascii="宋体" w:hAnsi="宋体"/>
          <w:szCs w:val="21"/>
          <w:highlight w:val="none"/>
        </w:rPr>
        <w:t>2.投标人应如实填报，若经查实投标人存在瞒报行为，将取消其投标或中标资格。</w:t>
      </w:r>
    </w:p>
    <w:p>
      <w:pPr>
        <w:pStyle w:val="2"/>
        <w:jc w:val="right"/>
        <w:rPr>
          <w:rFonts w:ascii="Times New Roman" w:hAnsi="Times New Roman" w:cs="Times New Roman"/>
          <w:sz w:val="2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Times New Roman" w:hAnsi="Times New Roman" w:cs="Times New Roman"/>
          <w:sz w:val="24"/>
          <w:highlight w:val="none"/>
        </w:rPr>
      </w:pPr>
      <w:r>
        <w:rPr>
          <w:rFonts w:ascii="Times New Roman" w:hAnsi="Times New Roman" w:cs="Times New Roman"/>
          <w:sz w:val="24"/>
          <w:highlight w:val="none"/>
        </w:rPr>
        <w:t xml:space="preserve"> 供应商：</w:t>
      </w:r>
      <w:r>
        <w:rPr>
          <w:rFonts w:ascii="Times New Roman" w:hAnsi="Times New Roman" w:cs="Times New Roman"/>
          <w:sz w:val="24"/>
          <w:highlight w:val="none"/>
          <w:u w:val="single"/>
        </w:rPr>
        <w:t xml:space="preserve">                 </w:t>
      </w:r>
      <w:r>
        <w:rPr>
          <w:rFonts w:ascii="Times New Roman" w:hAnsi="Times New Roman" w:cs="Times New Roman"/>
          <w:sz w:val="24"/>
          <w:highlight w:val="none"/>
        </w:rPr>
        <w:t>(盖单位章)</w:t>
      </w:r>
    </w:p>
    <w:p>
      <w:pPr>
        <w:pStyle w:val="2"/>
        <w:keepNext w:val="0"/>
        <w:keepLines w:val="0"/>
        <w:pageBreakBefore w:val="0"/>
        <w:widowControl w:val="0"/>
        <w:kinsoku/>
        <w:wordWrap/>
        <w:overflowPunct/>
        <w:topLinePunct w:val="0"/>
        <w:autoSpaceDE/>
        <w:autoSpaceDN/>
        <w:bidi w:val="0"/>
        <w:adjustRightInd/>
        <w:snapToGrid/>
        <w:spacing w:line="560" w:lineRule="exact"/>
        <w:jc w:val="right"/>
        <w:textAlignment w:val="auto"/>
        <w:rPr>
          <w:highlight w:val="none"/>
          <w:u w:val="singl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年 </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pPr>
        <w:pStyle w:val="2"/>
        <w:rPr>
          <w:highlight w:val="none"/>
        </w:rPr>
      </w:pPr>
    </w:p>
    <w:p>
      <w:pPr>
        <w:pStyle w:val="2"/>
        <w:spacing w:line="440" w:lineRule="exact"/>
        <w:rPr>
          <w:rFonts w:ascii="Times New Roman" w:hAnsi="Times New Roman" w:cs="Times New Roman"/>
          <w:sz w:val="24"/>
          <w:highlight w:val="none"/>
        </w:rPr>
      </w:pPr>
    </w:p>
    <w:p>
      <w:pPr>
        <w:spacing w:line="400" w:lineRule="atLeast"/>
        <w:jc w:val="center"/>
        <w:rPr>
          <w:rFonts w:ascii="Times New Roman" w:hAnsi="Times New Roman" w:eastAsia="黑体" w:cs="Times New Roman"/>
          <w:sz w:val="27"/>
          <w:szCs w:val="27"/>
          <w:highlight w:val="none"/>
        </w:rPr>
      </w:pPr>
    </w:p>
    <w:p>
      <w:pPr>
        <w:spacing w:line="400" w:lineRule="atLeast"/>
        <w:jc w:val="center"/>
        <w:rPr>
          <w:rFonts w:ascii="Times New Roman" w:hAnsi="Times New Roman" w:eastAsia="黑体" w:cs="Times New Roman"/>
          <w:sz w:val="27"/>
          <w:szCs w:val="27"/>
          <w:highlight w:val="none"/>
        </w:rPr>
      </w:pPr>
    </w:p>
    <w:p>
      <w:pPr>
        <w:spacing w:line="400" w:lineRule="atLeast"/>
        <w:jc w:val="center"/>
        <w:rPr>
          <w:rFonts w:ascii="Times New Roman" w:hAnsi="Times New Roman" w:eastAsia="黑体" w:cs="Times New Roman"/>
          <w:sz w:val="27"/>
          <w:szCs w:val="27"/>
          <w:highlight w:val="none"/>
        </w:rPr>
      </w:pPr>
    </w:p>
    <w:p>
      <w:pPr>
        <w:spacing w:line="400" w:lineRule="atLeast"/>
        <w:jc w:val="center"/>
        <w:rPr>
          <w:rFonts w:ascii="Times New Roman" w:hAnsi="Times New Roman" w:eastAsia="黑体" w:cs="Times New Roman"/>
          <w:sz w:val="27"/>
          <w:szCs w:val="27"/>
          <w:highlight w:val="none"/>
        </w:rPr>
      </w:pPr>
    </w:p>
    <w:p>
      <w:pPr>
        <w:numPr>
          <w:ilvl w:val="0"/>
          <w:numId w:val="0"/>
        </w:numPr>
        <w:bidi w:val="0"/>
        <w:jc w:val="center"/>
        <w:rPr>
          <w:rFonts w:hint="eastAsia" w:ascii="Times New Roman"/>
          <w:color w:val="auto"/>
          <w:szCs w:val="24"/>
          <w:highlight w:val="none"/>
          <w:lang w:eastAsia="zh-CN"/>
        </w:rPr>
      </w:pPr>
      <w:bookmarkStart w:id="147" w:name="_Toc22303_WPSOffice_Level1"/>
      <w:bookmarkStart w:id="148" w:name="_Toc31963_WPSOffice_Level1"/>
      <w:bookmarkStart w:id="149" w:name="_Toc2428_WPSOffice_Level1"/>
      <w:bookmarkStart w:id="150" w:name="_Toc5957_WPSOffice_Level1"/>
      <w:bookmarkStart w:id="151" w:name="_Toc19034_WPSOffice_Level1"/>
      <w:bookmarkStart w:id="152" w:name="_Toc13165_WPSOffice_Level1"/>
      <w:r>
        <w:rPr>
          <w:rFonts w:hint="eastAsia" w:ascii="黑体" w:hAnsi="黑体" w:eastAsia="黑体" w:cs="黑体"/>
          <w:sz w:val="28"/>
          <w:szCs w:val="28"/>
          <w:highlight w:val="none"/>
          <w:lang w:val="en-US" w:eastAsia="zh-CN"/>
        </w:rPr>
        <w:t>六、供货方案</w:t>
      </w:r>
    </w:p>
    <w:p>
      <w:pPr>
        <w:numPr>
          <w:ilvl w:val="0"/>
          <w:numId w:val="0"/>
        </w:numPr>
        <w:bidi w:val="0"/>
        <w:jc w:val="both"/>
        <w:rPr>
          <w:rFonts w:hint="eastAsia" w:ascii="Times New Roman"/>
          <w:color w:val="auto"/>
          <w:sz w:val="24"/>
          <w:szCs w:val="24"/>
          <w:highlight w:val="none"/>
          <w:lang w:eastAsia="zh-CN"/>
        </w:rPr>
      </w:pPr>
      <w:r>
        <w:rPr>
          <w:rFonts w:hint="eastAsia" w:ascii="Times New Roman"/>
          <w:color w:val="auto"/>
          <w:sz w:val="24"/>
          <w:szCs w:val="24"/>
          <w:highlight w:val="none"/>
          <w:lang w:val="en-US" w:eastAsia="zh-CN"/>
        </w:rPr>
        <w:t>供应商应按项目特点编制供货方案</w:t>
      </w:r>
      <w:r>
        <w:rPr>
          <w:rFonts w:hint="eastAsia" w:ascii="Times New Roman"/>
          <w:color w:val="auto"/>
          <w:sz w:val="24"/>
          <w:szCs w:val="24"/>
          <w:highlight w:val="none"/>
          <w:lang w:eastAsia="zh-CN"/>
        </w:rPr>
        <w:t>，</w:t>
      </w:r>
      <w:r>
        <w:rPr>
          <w:rFonts w:hint="eastAsia" w:ascii="Times New Roman"/>
          <w:color w:val="auto"/>
          <w:sz w:val="24"/>
          <w:szCs w:val="24"/>
          <w:highlight w:val="none"/>
          <w:lang w:val="en-US" w:eastAsia="zh-CN"/>
        </w:rPr>
        <w:t>文字宜精炼，内容具有可行性、针对性</w:t>
      </w:r>
      <w:r>
        <w:rPr>
          <w:rFonts w:hint="eastAsia" w:ascii="Times New Roman"/>
          <w:color w:val="auto"/>
          <w:sz w:val="24"/>
          <w:szCs w:val="24"/>
          <w:highlight w:val="none"/>
          <w:lang w:eastAsia="zh-CN"/>
        </w:rPr>
        <w:t>。</w:t>
      </w:r>
    </w:p>
    <w:p>
      <w:pPr>
        <w:pStyle w:val="20"/>
        <w:rPr>
          <w:rFonts w:hint="eastAsia" w:ascii="Times New Roman" w:hAnsi="Times New Roman" w:eastAsia="黑体" w:cs="Times New Roman"/>
          <w:sz w:val="28"/>
          <w:szCs w:val="28"/>
          <w:highlight w:val="none"/>
        </w:rPr>
      </w:pPr>
    </w:p>
    <w:p>
      <w:pPr>
        <w:rPr>
          <w:rFonts w:hint="eastAsia" w:ascii="Times New Roman" w:hAnsi="Times New Roman" w:eastAsia="黑体" w:cs="Times New Roman"/>
          <w:sz w:val="28"/>
          <w:szCs w:val="28"/>
          <w:highlight w:val="none"/>
        </w:rPr>
      </w:pPr>
    </w:p>
    <w:p>
      <w:pPr>
        <w:pStyle w:val="20"/>
        <w:rPr>
          <w:rFonts w:hint="eastAsia" w:ascii="Times New Roman" w:hAnsi="Times New Roman" w:eastAsia="黑体" w:cs="Times New Roman"/>
          <w:sz w:val="28"/>
          <w:szCs w:val="28"/>
          <w:highlight w:val="none"/>
        </w:rPr>
      </w:pPr>
    </w:p>
    <w:p>
      <w:pPr>
        <w:rPr>
          <w:rFonts w:hint="eastAsia" w:ascii="Times New Roman" w:hAnsi="Times New Roman" w:eastAsia="黑体" w:cs="Times New Roman"/>
          <w:sz w:val="28"/>
          <w:szCs w:val="28"/>
          <w:highlight w:val="none"/>
        </w:rPr>
      </w:pPr>
    </w:p>
    <w:p>
      <w:pPr>
        <w:pStyle w:val="20"/>
        <w:rPr>
          <w:rFonts w:hint="eastAsia" w:ascii="Times New Roman" w:hAnsi="Times New Roman" w:eastAsia="黑体" w:cs="Times New Roman"/>
          <w:sz w:val="28"/>
          <w:szCs w:val="28"/>
          <w:highlight w:val="none"/>
        </w:rPr>
      </w:pPr>
    </w:p>
    <w:p>
      <w:pPr>
        <w:rPr>
          <w:rFonts w:hint="eastAsia" w:ascii="Times New Roman" w:hAnsi="Times New Roman" w:eastAsia="黑体" w:cs="Times New Roman"/>
          <w:sz w:val="28"/>
          <w:szCs w:val="28"/>
          <w:highlight w:val="none"/>
        </w:rPr>
      </w:pPr>
    </w:p>
    <w:p>
      <w:pPr>
        <w:pStyle w:val="20"/>
        <w:rPr>
          <w:rFonts w:hint="eastAsia" w:ascii="Times New Roman" w:hAnsi="Times New Roman" w:eastAsia="黑体" w:cs="Times New Roman"/>
          <w:sz w:val="28"/>
          <w:szCs w:val="28"/>
          <w:highlight w:val="none"/>
        </w:rPr>
      </w:pPr>
    </w:p>
    <w:p>
      <w:pPr>
        <w:rPr>
          <w:rFonts w:hint="eastAsia" w:ascii="Times New Roman" w:hAnsi="Times New Roman" w:eastAsia="黑体" w:cs="Times New Roman"/>
          <w:sz w:val="28"/>
          <w:szCs w:val="28"/>
          <w:highlight w:val="none"/>
        </w:rPr>
      </w:pPr>
    </w:p>
    <w:p>
      <w:pPr>
        <w:pStyle w:val="20"/>
        <w:rPr>
          <w:rFonts w:hint="eastAsia" w:ascii="Times New Roman" w:hAnsi="Times New Roman" w:eastAsia="黑体" w:cs="Times New Roman"/>
          <w:sz w:val="28"/>
          <w:szCs w:val="28"/>
          <w:highlight w:val="none"/>
        </w:rPr>
      </w:pPr>
    </w:p>
    <w:p>
      <w:pPr>
        <w:rPr>
          <w:rFonts w:hint="eastAsia"/>
          <w:highlight w:val="none"/>
        </w:rPr>
      </w:pPr>
    </w:p>
    <w:p>
      <w:pPr>
        <w:pStyle w:val="20"/>
        <w:rPr>
          <w:rFonts w:hint="eastAsia"/>
          <w:highlight w:val="none"/>
        </w:rPr>
      </w:pPr>
    </w:p>
    <w:p>
      <w:pPr>
        <w:pStyle w:val="20"/>
        <w:rPr>
          <w:rFonts w:hint="eastAsia"/>
          <w:highlight w:val="none"/>
        </w:rPr>
      </w:pPr>
    </w:p>
    <w:p>
      <w:pPr>
        <w:rPr>
          <w:rFonts w:hint="eastAsia"/>
          <w:highlight w:val="none"/>
        </w:rPr>
      </w:pPr>
    </w:p>
    <w:p>
      <w:pPr>
        <w:pStyle w:val="20"/>
        <w:rPr>
          <w:rFonts w:hint="eastAsia"/>
          <w:highlight w:val="none"/>
        </w:rPr>
      </w:pPr>
    </w:p>
    <w:p>
      <w:pPr>
        <w:rPr>
          <w:rFonts w:hint="eastAsia"/>
          <w:highlight w:val="none"/>
        </w:rPr>
      </w:pPr>
    </w:p>
    <w:p>
      <w:pPr>
        <w:pStyle w:val="20"/>
        <w:rPr>
          <w:rFonts w:hint="eastAsia"/>
          <w:highlight w:val="none"/>
        </w:rPr>
      </w:pPr>
    </w:p>
    <w:p>
      <w:pPr>
        <w:rPr>
          <w:rFonts w:hint="eastAsia"/>
          <w:highlight w:val="none"/>
        </w:rPr>
      </w:pPr>
    </w:p>
    <w:p>
      <w:pPr>
        <w:pStyle w:val="20"/>
        <w:rPr>
          <w:rFonts w:hint="eastAsia"/>
          <w:highlight w:val="none"/>
        </w:rPr>
      </w:pPr>
    </w:p>
    <w:p>
      <w:pPr>
        <w:rPr>
          <w:rFonts w:hint="eastAsia"/>
          <w:highlight w:val="none"/>
        </w:rPr>
      </w:pPr>
    </w:p>
    <w:p>
      <w:pPr>
        <w:pStyle w:val="20"/>
        <w:rPr>
          <w:rFonts w:hint="eastAsia"/>
          <w:highlight w:val="none"/>
        </w:rPr>
      </w:pPr>
    </w:p>
    <w:p>
      <w:pPr>
        <w:rPr>
          <w:rFonts w:hint="eastAsia"/>
          <w:highlight w:val="none"/>
        </w:rPr>
      </w:pPr>
    </w:p>
    <w:p>
      <w:pPr>
        <w:pStyle w:val="2"/>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pStyle w:val="27"/>
        <w:rPr>
          <w:rFonts w:hint="eastAsia"/>
          <w:highlight w:val="none"/>
        </w:rPr>
      </w:pPr>
    </w:p>
    <w:p>
      <w:pPr>
        <w:spacing w:line="440" w:lineRule="exact"/>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七</w:t>
      </w:r>
      <w:r>
        <w:rPr>
          <w:rFonts w:ascii="Times New Roman" w:hAnsi="Times New Roman" w:eastAsia="黑体" w:cs="Times New Roman"/>
          <w:sz w:val="28"/>
          <w:szCs w:val="28"/>
          <w:highlight w:val="none"/>
        </w:rPr>
        <w:t>、其</w:t>
      </w:r>
      <w:bookmarkEnd w:id="147"/>
      <w:r>
        <w:rPr>
          <w:rFonts w:hint="eastAsia" w:ascii="Times New Roman" w:hAnsi="Times New Roman" w:eastAsia="黑体" w:cs="Times New Roman"/>
          <w:sz w:val="28"/>
          <w:szCs w:val="28"/>
          <w:highlight w:val="none"/>
          <w:lang w:val="en-US" w:eastAsia="zh-CN"/>
        </w:rPr>
        <w:t>他</w:t>
      </w:r>
      <w:r>
        <w:rPr>
          <w:rFonts w:ascii="Times New Roman" w:hAnsi="Times New Roman" w:eastAsia="黑体" w:cs="Times New Roman"/>
          <w:sz w:val="28"/>
          <w:szCs w:val="28"/>
          <w:highlight w:val="none"/>
        </w:rPr>
        <w:t>材料</w:t>
      </w:r>
      <w:bookmarkEnd w:id="148"/>
      <w:bookmarkEnd w:id="149"/>
      <w:bookmarkEnd w:id="150"/>
      <w:bookmarkEnd w:id="151"/>
      <w:bookmarkEnd w:id="152"/>
    </w:p>
    <w:p>
      <w:pPr>
        <w:pStyle w:val="27"/>
        <w:rPr>
          <w:rFonts w:hint="default" w:ascii="Times New Roman" w:hAnsi="Times New Roman"/>
          <w:color w:val="auto"/>
          <w:szCs w:val="28"/>
          <w:highlight w:val="none"/>
        </w:rPr>
      </w:pPr>
    </w:p>
    <w:p>
      <w:pPr>
        <w:pStyle w:val="27"/>
        <w:numPr>
          <w:ilvl w:val="0"/>
          <w:numId w:val="0"/>
        </w:numPr>
        <w:rPr>
          <w:rFonts w:hint="eastAsia" w:ascii="宋体" w:hAnsi="宋体" w:eastAsia="宋体" w:cs="宋体"/>
          <w:color w:val="auto"/>
          <w:szCs w:val="28"/>
          <w:highlight w:val="none"/>
        </w:rPr>
      </w:pPr>
      <w:r>
        <w:rPr>
          <w:rFonts w:hint="eastAsia" w:ascii="宋体" w:hAnsi="宋体" w:eastAsia="宋体" w:cs="宋体"/>
          <w:color w:val="auto"/>
          <w:szCs w:val="28"/>
          <w:highlight w:val="none"/>
        </w:rPr>
        <w:t>响应保证金的银行凭证（电汇回单）复印件等。</w:t>
      </w:r>
    </w:p>
    <w:p>
      <w:pPr>
        <w:spacing w:line="440" w:lineRule="exact"/>
        <w:jc w:val="center"/>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36"/>
          <w:szCs w:val="36"/>
          <w:highlight w:val="none"/>
        </w:rPr>
      </w:pPr>
      <w:r>
        <w:rPr>
          <w:rFonts w:hint="eastAsia" w:ascii="宋体" w:hAnsi="宋体" w:eastAsia="宋体" w:cs="宋体"/>
          <w:b/>
          <w:bCs/>
          <w:kern w:val="0"/>
          <w:sz w:val="36"/>
          <w:szCs w:val="36"/>
          <w:highlight w:val="none"/>
          <w:u w:val="single"/>
          <w:lang w:val="en-US" w:eastAsia="zh-CN"/>
        </w:rPr>
        <w:t xml:space="preserve">                                  </w:t>
      </w:r>
      <w:r>
        <w:rPr>
          <w:rFonts w:hint="eastAsia" w:ascii="宋体" w:hAnsi="宋体" w:eastAsia="宋体" w:cs="宋体"/>
          <w:b/>
          <w:bCs/>
          <w:kern w:val="0"/>
          <w:sz w:val="36"/>
          <w:szCs w:val="36"/>
          <w:highlight w:val="none"/>
          <w:u w:val="none"/>
          <w:lang w:val="en-US" w:eastAsia="zh-CN"/>
        </w:rPr>
        <w:t>项目</w:t>
      </w:r>
      <w:r>
        <w:rPr>
          <w:rFonts w:ascii="Times New Roman" w:hAnsi="Times New Roman" w:eastAsia="黑体" w:cs="Times New Roman"/>
          <w:sz w:val="36"/>
          <w:szCs w:val="36"/>
          <w:highlight w:val="none"/>
        </w:rPr>
        <w:t>询比</w:t>
      </w:r>
    </w:p>
    <w:p>
      <w:pPr>
        <w:spacing w:line="440" w:lineRule="exact"/>
        <w:rPr>
          <w:rFonts w:ascii="Times New Roman" w:hAnsi="Times New Roman" w:eastAsia="黑体" w:cs="Times New Roman"/>
          <w:sz w:val="20"/>
          <w:szCs w:val="20"/>
          <w:highlight w:val="none"/>
        </w:rPr>
      </w:pPr>
      <w:r>
        <w:rPr>
          <w:rFonts w:ascii="Times New Roman" w:hAnsi="Times New Roman" w:eastAsia="黑体" w:cs="Times New Roman"/>
          <w:sz w:val="20"/>
          <w:szCs w:val="20"/>
          <w:highlight w:val="none"/>
        </w:rPr>
        <w:t xml:space="preserve"> </w:t>
      </w:r>
    </w:p>
    <w:p>
      <w:pPr>
        <w:spacing w:line="440" w:lineRule="exact"/>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spacing w:line="440" w:lineRule="exact"/>
        <w:jc w:val="center"/>
        <w:rPr>
          <w:rFonts w:ascii="Times New Roman" w:hAnsi="Times New Roman" w:eastAsia="黑体" w:cs="Times New Roman"/>
          <w:sz w:val="40"/>
          <w:szCs w:val="40"/>
          <w:highlight w:val="none"/>
        </w:rPr>
      </w:pPr>
    </w:p>
    <w:p>
      <w:pPr>
        <w:jc w:val="center"/>
        <w:rPr>
          <w:rFonts w:ascii="Times New Roman" w:hAnsi="Times New Roman" w:eastAsia="黑体" w:cs="Times New Roman"/>
          <w:sz w:val="50"/>
          <w:szCs w:val="50"/>
          <w:highlight w:val="none"/>
        </w:rPr>
      </w:pPr>
      <w:r>
        <w:rPr>
          <w:rFonts w:ascii="Times New Roman" w:hAnsi="Times New Roman" w:eastAsia="黑体" w:cs="Times New Roman"/>
          <w:sz w:val="50"/>
          <w:szCs w:val="50"/>
          <w:highlight w:val="none"/>
        </w:rPr>
        <w:t>响  应  文  件</w:t>
      </w:r>
    </w:p>
    <w:p>
      <w:pPr>
        <w:pStyle w:val="20"/>
        <w:ind w:firstLine="2560" w:firstLineChars="800"/>
        <w:jc w:val="both"/>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（报价文件）</w:t>
      </w: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rPr>
          <w:rFonts w:ascii="Times New Roman" w:hAnsi="Times New Roman" w:eastAsia="黑体" w:cs="Times New Roman"/>
          <w:sz w:val="20"/>
          <w:szCs w:val="20"/>
          <w:highlight w:val="none"/>
        </w:rPr>
      </w:pPr>
    </w:p>
    <w:p>
      <w:pPr>
        <w:spacing w:line="440" w:lineRule="exact"/>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lang w:val="en-US" w:eastAsia="zh-CN"/>
        </w:rPr>
        <w:t xml:space="preserve">     </w:t>
      </w:r>
      <w:r>
        <w:rPr>
          <w:rFonts w:ascii="Times New Roman" w:hAnsi="Times New Roman" w:eastAsia="黑体" w:cs="Times New Roman"/>
          <w:sz w:val="28"/>
          <w:szCs w:val="28"/>
          <w:highlight w:val="none"/>
        </w:rPr>
        <w:t>供应商：</w:t>
      </w:r>
      <w:r>
        <w:rPr>
          <w:rFonts w:ascii="Times New Roman" w:hAnsi="Times New Roman" w:eastAsia="黑体" w:cs="Times New Roman"/>
          <w:sz w:val="28"/>
          <w:szCs w:val="28"/>
          <w:highlight w:val="none"/>
          <w:u w:val="single"/>
        </w:rPr>
        <w:t xml:space="preserve">           </w:t>
      </w:r>
      <w:r>
        <w:rPr>
          <w:rFonts w:hint="eastAsia" w:ascii="Times New Roman" w:hAnsi="Times New Roman" w:eastAsia="黑体" w:cs="Times New Roman"/>
          <w:sz w:val="28"/>
          <w:szCs w:val="28"/>
          <w:highlight w:val="none"/>
          <w:u w:val="single"/>
          <w:lang w:val="en-US" w:eastAsia="zh-CN"/>
        </w:rPr>
        <w:t xml:space="preserve">     </w:t>
      </w:r>
      <w:r>
        <w:rPr>
          <w:rFonts w:ascii="Times New Roman" w:hAnsi="Times New Roman" w:eastAsia="黑体" w:cs="Times New Roman"/>
          <w:sz w:val="28"/>
          <w:szCs w:val="28"/>
          <w:highlight w:val="none"/>
          <w:u w:val="single"/>
        </w:rPr>
        <w:t xml:space="preserve"> (全称、盖单位章) </w:t>
      </w:r>
    </w:p>
    <w:p>
      <w:pPr>
        <w:spacing w:line="440" w:lineRule="exact"/>
        <w:ind w:firstLine="2158" w:firstLineChars="771"/>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r>
        <w:rPr>
          <w:rFonts w:hint="eastAsia" w:ascii="Times New Roman" w:hAnsi="Times New Roman" w:eastAsia="黑体" w:cs="Times New Roman"/>
          <w:sz w:val="28"/>
          <w:szCs w:val="28"/>
          <w:highlight w:val="none"/>
          <w:u w:val="none"/>
          <w:lang w:val="en-US" w:eastAsia="zh-CN"/>
        </w:rPr>
        <w:t xml:space="preserve">          </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年</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月</w:t>
      </w:r>
      <w:r>
        <w:rPr>
          <w:rFonts w:ascii="Times New Roman" w:hAnsi="Times New Roman" w:eastAsia="黑体" w:cs="Times New Roman"/>
          <w:sz w:val="28"/>
          <w:szCs w:val="28"/>
          <w:highlight w:val="none"/>
          <w:u w:val="single"/>
        </w:rPr>
        <w:t xml:space="preserve">     </w:t>
      </w:r>
      <w:r>
        <w:rPr>
          <w:rFonts w:ascii="Times New Roman" w:hAnsi="Times New Roman" w:eastAsia="黑体" w:cs="Times New Roman"/>
          <w:sz w:val="28"/>
          <w:szCs w:val="28"/>
          <w:highlight w:val="none"/>
        </w:rPr>
        <w:t>日</w:t>
      </w:r>
    </w:p>
    <w:p>
      <w:pPr>
        <w:spacing w:line="440" w:lineRule="exact"/>
        <w:rPr>
          <w:rFonts w:ascii="Times New Roman" w:hAnsi="Times New Roman" w:eastAsia="黑体" w:cs="Times New Roman"/>
          <w:sz w:val="28"/>
          <w:szCs w:val="28"/>
          <w:highlight w:val="none"/>
        </w:rPr>
      </w:pPr>
    </w:p>
    <w:p>
      <w:pPr>
        <w:spacing w:line="440" w:lineRule="exact"/>
        <w:jc w:val="center"/>
        <w:rPr>
          <w:rFonts w:ascii="Times New Roman" w:hAnsi="Times New Roman" w:eastAsia="黑体" w:cs="Times New Roman"/>
          <w:sz w:val="28"/>
          <w:szCs w:val="28"/>
          <w:highlight w:val="none"/>
        </w:rPr>
      </w:pPr>
      <w:r>
        <w:rPr>
          <w:rFonts w:ascii="Times New Roman" w:hAnsi="Times New Roman" w:eastAsia="黑体" w:cs="Times New Roman"/>
          <w:sz w:val="20"/>
          <w:szCs w:val="20"/>
          <w:highlight w:val="none"/>
        </w:rPr>
        <w:br w:type="page"/>
      </w:r>
      <w:r>
        <w:rPr>
          <w:rFonts w:ascii="Times New Roman" w:hAnsi="Times New Roman" w:eastAsia="黑体" w:cs="Times New Roman"/>
          <w:sz w:val="28"/>
          <w:szCs w:val="28"/>
          <w:highlight w:val="none"/>
        </w:rPr>
        <w:t>目     录</w:t>
      </w:r>
    </w:p>
    <w:p>
      <w:pPr>
        <w:spacing w:line="440" w:lineRule="exact"/>
        <w:rPr>
          <w:rFonts w:ascii="Times New Roman" w:hAnsi="Times New Roman" w:eastAsia="黑体" w:cs="Times New Roman"/>
          <w:sz w:val="20"/>
          <w:szCs w:val="20"/>
          <w:highlight w:val="none"/>
        </w:rPr>
      </w:pPr>
    </w:p>
    <w:p>
      <w:pPr>
        <w:spacing w:line="440" w:lineRule="exact"/>
        <w:ind w:firstLine="1200" w:firstLineChars="50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一、报价函</w:t>
      </w:r>
    </w:p>
    <w:p>
      <w:pPr>
        <w:spacing w:line="440" w:lineRule="exact"/>
        <w:ind w:firstLine="1200" w:firstLineChars="500"/>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二、已标价</w:t>
      </w:r>
      <w:r>
        <w:rPr>
          <w:rFonts w:hint="eastAsia" w:ascii="Times New Roman" w:hAnsi="Times New Roman" w:eastAsia="黑体" w:cs="Times New Roman"/>
          <w:sz w:val="24"/>
          <w:szCs w:val="24"/>
          <w:highlight w:val="none"/>
        </w:rPr>
        <w:t>的工程量</w:t>
      </w:r>
      <w:r>
        <w:rPr>
          <w:rFonts w:ascii="Times New Roman" w:hAnsi="Times New Roman" w:eastAsia="黑体" w:cs="Times New Roman"/>
          <w:sz w:val="24"/>
          <w:szCs w:val="24"/>
          <w:highlight w:val="none"/>
        </w:rPr>
        <w:t>清单</w:t>
      </w:r>
    </w:p>
    <w:p>
      <w:pPr>
        <w:spacing w:line="440" w:lineRule="exact"/>
        <w:ind w:left="1619" w:leftChars="771"/>
        <w:rPr>
          <w:rFonts w:ascii="Times New Roman" w:hAnsi="Times New Roman" w:eastAsia="黑体" w:cs="Times New Roman"/>
          <w:sz w:val="24"/>
          <w:highlight w:val="none"/>
        </w:rPr>
      </w:pPr>
    </w:p>
    <w:p>
      <w:pPr>
        <w:spacing w:line="440" w:lineRule="exact"/>
        <w:ind w:left="1619" w:leftChars="771"/>
        <w:rPr>
          <w:rFonts w:ascii="Times New Roman" w:hAnsi="Times New Roman" w:eastAsia="黑体" w:cs="Times New Roman"/>
          <w:sz w:val="24"/>
          <w:highlight w:val="none"/>
        </w:rPr>
      </w:pPr>
    </w:p>
    <w:p>
      <w:pPr>
        <w:spacing w:line="440" w:lineRule="exact"/>
        <w:jc w:val="cente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rFonts w:ascii="Times New Roman" w:hAnsi="Times New Roman" w:eastAsia="黑体" w:cs="Times New Roman"/>
          <w:sz w:val="28"/>
          <w:szCs w:val="28"/>
          <w:highlight w:val="none"/>
        </w:rPr>
      </w:pPr>
    </w:p>
    <w:p>
      <w:pPr>
        <w:rPr>
          <w:rFonts w:ascii="Times New Roman" w:hAnsi="Times New Roman" w:eastAsia="黑体" w:cs="Times New Roman"/>
          <w:sz w:val="28"/>
          <w:szCs w:val="28"/>
          <w:highlight w:val="none"/>
        </w:rPr>
      </w:pPr>
    </w:p>
    <w:p>
      <w:pPr>
        <w:pStyle w:val="20"/>
        <w:rPr>
          <w:highlight w:val="none"/>
        </w:rPr>
      </w:pPr>
    </w:p>
    <w:p>
      <w:pPr>
        <w:rPr>
          <w:highlight w:val="none"/>
        </w:rPr>
      </w:pPr>
    </w:p>
    <w:p>
      <w:pPr>
        <w:rPr>
          <w:highlight w:val="none"/>
        </w:rPr>
      </w:pPr>
    </w:p>
    <w:p>
      <w:pPr>
        <w:numPr>
          <w:ilvl w:val="0"/>
          <w:numId w:val="0"/>
        </w:numPr>
        <w:spacing w:line="440" w:lineRule="exact"/>
        <w:jc w:val="center"/>
        <w:rPr>
          <w:highlight w:val="none"/>
        </w:rPr>
      </w:pPr>
      <w:r>
        <w:rPr>
          <w:rFonts w:hint="eastAsia" w:ascii="Times New Roman" w:hAnsi="Times New Roman" w:eastAsia="黑体" w:cs="Times New Roman"/>
          <w:sz w:val="28"/>
          <w:szCs w:val="28"/>
          <w:highlight w:val="none"/>
          <w:lang w:val="en-US" w:eastAsia="zh-CN"/>
        </w:rPr>
        <w:t>一、</w:t>
      </w:r>
      <w:r>
        <w:rPr>
          <w:rFonts w:ascii="Times New Roman" w:hAnsi="Times New Roman" w:eastAsia="黑体" w:cs="Times New Roman"/>
          <w:sz w:val="28"/>
          <w:szCs w:val="28"/>
          <w:highlight w:val="none"/>
        </w:rPr>
        <w:t>报价函</w:t>
      </w:r>
    </w:p>
    <w:p>
      <w:pPr>
        <w:pStyle w:val="20"/>
        <w:rPr>
          <w:highlight w:val="none"/>
        </w:rPr>
      </w:pPr>
    </w:p>
    <w:p>
      <w:pPr>
        <w:spacing w:line="440" w:lineRule="exact"/>
        <w:rPr>
          <w:rFonts w:ascii="Times New Roman" w:hAnsi="Times New Roman" w:cs="Times New Roman"/>
          <w:sz w:val="24"/>
          <w:highlight w:val="none"/>
        </w:rPr>
      </w:pPr>
      <w:r>
        <w:rPr>
          <w:rFonts w:ascii="Times New Roman" w:hAnsi="Times New Roman" w:cs="Times New Roman"/>
          <w:sz w:val="24"/>
          <w:highlight w:val="none"/>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(采购人名称)：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highlight w:val="none"/>
        </w:rPr>
      </w:pPr>
      <w:r>
        <w:rPr>
          <w:rFonts w:ascii="Times New Roman" w:hAnsi="Times New Roman" w:cs="Times New Roman"/>
          <w:sz w:val="24"/>
          <w:highlight w:val="none"/>
        </w:rPr>
        <w:t>1．我方已仔细研究了</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(项目名称)询比文件的全部内容(含补遗书第</w:t>
      </w:r>
      <w:r>
        <w:rPr>
          <w:rFonts w:hint="eastAsia"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号至第</w:t>
      </w:r>
      <w:r>
        <w:rPr>
          <w:rFonts w:hint="eastAsia"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rPr>
        <w:t>号)，愿意以人民币(大写)</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u w:val="single"/>
        </w:rPr>
        <w:t xml:space="preserve">   </w:t>
      </w:r>
      <w:r>
        <w:rPr>
          <w:rFonts w:ascii="Times New Roman" w:hAnsi="Times New Roman" w:cs="Times New Roman"/>
          <w:sz w:val="24"/>
          <w:highlight w:val="none"/>
        </w:rPr>
        <w:t>(小写：¥</w:t>
      </w:r>
      <w:r>
        <w:rPr>
          <w:rFonts w:ascii="Times New Roman" w:hAnsi="Times New Roman" w:cs="Times New Roman"/>
          <w:sz w:val="24"/>
          <w:highlight w:val="none"/>
          <w:u w:val="single"/>
        </w:rPr>
        <w:t xml:space="preserve">       </w:t>
      </w:r>
      <w:r>
        <w:rPr>
          <w:rFonts w:ascii="Times New Roman" w:hAnsi="Times New Roman" w:cs="Times New Roman"/>
          <w:sz w:val="24"/>
          <w:highlight w:val="none"/>
        </w:rPr>
        <w:t>)的总报价</w:t>
      </w:r>
      <w:r>
        <w:rPr>
          <w:rFonts w:hint="eastAsia" w:ascii="Times New Roman" w:hAnsi="Times New Roman" w:cs="Times New Roman"/>
          <w:sz w:val="24"/>
          <w:highlight w:val="none"/>
          <w:lang w:val="en-US" w:eastAsia="zh-CN"/>
        </w:rPr>
        <w:t>提供招标文件要求的货物、技术服务和质保售后服务，并按合同约定履行义务</w:t>
      </w:r>
      <w:r>
        <w:rPr>
          <w:rFonts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highlight w:val="none"/>
        </w:rPr>
      </w:pPr>
      <w:r>
        <w:rPr>
          <w:rFonts w:ascii="Times New Roman" w:hAnsi="Times New Roman" w:cs="Times New Roman"/>
          <w:sz w:val="24"/>
          <w:highlight w:val="none"/>
        </w:rPr>
        <w:t>2．我方承诺在响应有效期内不修改、撤销响应文件。</w:t>
      </w:r>
      <w:r>
        <w:rPr>
          <w:rFonts w:hint="eastAsia"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highlight w:val="none"/>
        </w:rPr>
      </w:pPr>
      <w:r>
        <w:rPr>
          <w:rFonts w:hint="eastAsia" w:ascii="Times New Roman" w:hAnsi="Times New Roman" w:cs="Times New Roman"/>
          <w:sz w:val="24"/>
          <w:highlight w:val="none"/>
          <w:lang w:val="en-US" w:eastAsia="zh-CN"/>
        </w:rPr>
        <w:t>3</w:t>
      </w:r>
      <w:r>
        <w:rPr>
          <w:rFonts w:ascii="Times New Roman" w:hAnsi="Times New Roman" w:cs="Times New Roman"/>
          <w:sz w:val="24"/>
          <w:highlight w:val="none"/>
        </w:rPr>
        <w:t>．我方在此声明，所递交的响应文件及有关资料内容完整、真实和准确。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highlight w:val="none"/>
        </w:rPr>
      </w:pPr>
      <w:r>
        <w:rPr>
          <w:rFonts w:hint="eastAsia" w:ascii="Times New Roman" w:hAnsi="Times New Roman" w:cs="Times New Roman"/>
          <w:sz w:val="24"/>
          <w:highlight w:val="none"/>
          <w:lang w:val="en-US" w:eastAsia="zh-CN"/>
        </w:rPr>
        <w:t>4</w:t>
      </w:r>
      <w:r>
        <w:rPr>
          <w:rFonts w:ascii="Times New Roman" w:hAnsi="Times New Roman" w:cs="Times New Roman"/>
          <w:sz w:val="24"/>
          <w:highlight w:val="none"/>
        </w:rPr>
        <w:t>．</w:t>
      </w:r>
      <w:r>
        <w:rPr>
          <w:rFonts w:hint="eastAsia" w:ascii="Times New Roman" w:hAnsi="Times New Roman" w:cs="Times New Roman"/>
          <w:sz w:val="24"/>
          <w:highlight w:val="none"/>
        </w:rPr>
        <w:t>我方已按招标文件要求详细审核并确认全部招标文件及有关附件，充分理解投标价格不得低于企业个别成本有关规定。我方经成本核算，所填报的投标报价不低于企业个别成本。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5</w:t>
      </w:r>
      <w:r>
        <w:rPr>
          <w:rFonts w:hint="eastAsia" w:ascii="Times New Roman" w:hAnsi="Times New Roman" w:cs="Times New Roman"/>
          <w:sz w:val="24"/>
          <w:highlight w:val="none"/>
        </w:rPr>
        <w:t>．除非另外达成协议并生效，你方的中标通知书和本投标文件以及招标文件、招标文件澄清、修改、补充文件将成为约束双方的合同文件的组成部分。</w:t>
      </w:r>
      <w:r>
        <w:rPr>
          <w:rFonts w:hint="eastAsia"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6.其他补充说明：</w:t>
      </w:r>
      <w:r>
        <w:rPr>
          <w:rFonts w:hint="eastAsia" w:ascii="Times New Roman" w:hAnsi="Times New Roman" w:cs="Times New Roman"/>
          <w:sz w:val="24"/>
          <w:highlight w:val="none"/>
          <w:u w:val="single"/>
          <w:lang w:val="en-US" w:eastAsia="zh-CN"/>
        </w:rPr>
        <w:t xml:space="preserve">                                       </w:t>
      </w:r>
      <w:r>
        <w:rPr>
          <w:rFonts w:hint="eastAsia" w:ascii="Times New Roman" w:hAnsi="Times New Roman" w:cs="Times New Roman"/>
          <w:sz w:val="24"/>
          <w:highlight w:val="none"/>
          <w:u w:val="none"/>
          <w:lang w:val="en-US" w:eastAsia="zh-CN"/>
        </w:rPr>
        <w:t>。</w:t>
      </w:r>
      <w:r>
        <w:rPr>
          <w:rFonts w:hint="eastAsia" w:ascii="Times New Roman" w:hAnsi="Times New Roman" w:cs="Times New Roman"/>
          <w:sz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imes New Roman" w:cs="Times New Roman"/>
          <w:sz w:val="24"/>
          <w:highlight w:val="none"/>
        </w:rPr>
      </w:pPr>
      <w:r>
        <w:rPr>
          <w:rFonts w:hint="eastAsia" w:ascii="Times New Roman" w:hAnsi="Times New Roman" w:cs="Times New Roman"/>
          <w:sz w:val="24"/>
          <w:highlight w:val="none"/>
          <w:lang w:val="en-US" w:eastAsia="zh-CN"/>
        </w:rPr>
        <w:t xml:space="preserve"> </w:t>
      </w:r>
    </w:p>
    <w:p>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供应商：</w:t>
      </w:r>
      <w:r>
        <w:rPr>
          <w:rFonts w:ascii="Times New Roman" w:hAnsi="Times New Roman" w:cs="Times New Roman"/>
          <w:sz w:val="24"/>
          <w:highlight w:val="none"/>
          <w:u w:val="single"/>
        </w:rPr>
        <w:t xml:space="preserve">                     </w:t>
      </w:r>
      <w:r>
        <w:rPr>
          <w:rFonts w:hint="eastAsia" w:ascii="宋体" w:hAnsi="宋体" w:eastAsia="宋体" w:cs="宋体"/>
          <w:sz w:val="24"/>
          <w:highlight w:val="none"/>
        </w:rPr>
        <w:t>(盖单位章)</w:t>
      </w:r>
    </w:p>
    <w:p>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法定代表人：</w:t>
      </w:r>
      <w:r>
        <w:rPr>
          <w:rFonts w:ascii="Times New Roman" w:hAnsi="Times New Roman" w:cs="Times New Roman"/>
          <w:sz w:val="24"/>
          <w:highlight w:val="none"/>
          <w:u w:val="single"/>
        </w:rPr>
        <w:t xml:space="preserve">   </w:t>
      </w:r>
      <w:r>
        <w:rPr>
          <w:rFonts w:hint="eastAsia" w:ascii="Times New Roman" w:hAnsi="Times New Roman" w:cs="Times New Roman"/>
          <w:sz w:val="24"/>
          <w:highlight w:val="none"/>
          <w:u w:val="single"/>
          <w:lang w:val="en-US" w:eastAsia="zh-CN"/>
        </w:rPr>
        <w:t xml:space="preserve">           </w:t>
      </w:r>
      <w:r>
        <w:rPr>
          <w:rFonts w:ascii="Times New Roman" w:hAnsi="Times New Roman" w:cs="Times New Roman"/>
          <w:sz w:val="24"/>
          <w:highlight w:val="none"/>
          <w:u w:val="single"/>
        </w:rPr>
        <w:t xml:space="preserve">  </w:t>
      </w:r>
      <w:r>
        <w:rPr>
          <w:rFonts w:hint="eastAsia" w:ascii="宋体" w:hAnsi="宋体" w:eastAsia="宋体" w:cs="宋体"/>
          <w:sz w:val="24"/>
          <w:szCs w:val="24"/>
          <w:highlight w:val="none"/>
        </w:rPr>
        <w:t>（签字或盖章）</w:t>
      </w:r>
    </w:p>
    <w:p>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地址：</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网址：</w:t>
      </w:r>
      <w:r>
        <w:rPr>
          <w:rFonts w:ascii="Times New Roman" w:hAnsi="Times New Roman" w:cs="Times New Roman"/>
          <w:sz w:val="24"/>
          <w:highlight w:val="none"/>
          <w:u w:val="single"/>
        </w:rPr>
        <w:t xml:space="preserve">                                     </w:t>
      </w:r>
    </w:p>
    <w:p>
      <w:pPr>
        <w:spacing w:line="400" w:lineRule="exact"/>
        <w:ind w:firstLine="3420" w:firstLineChars="1425"/>
        <w:rPr>
          <w:rFonts w:ascii="Times New Roman" w:hAnsi="Times New Roman" w:cs="Times New Roman"/>
          <w:sz w:val="24"/>
          <w:highlight w:val="none"/>
        </w:rPr>
      </w:pPr>
      <w:r>
        <w:rPr>
          <w:rFonts w:ascii="Times New Roman" w:hAnsi="Times New Roman" w:cs="Times New Roman"/>
          <w:sz w:val="24"/>
          <w:highlight w:val="none"/>
        </w:rPr>
        <w:t>电话：</w:t>
      </w:r>
      <w:r>
        <w:rPr>
          <w:rFonts w:ascii="Times New Roman" w:hAnsi="Times New Roman" w:cs="Times New Roman"/>
          <w:sz w:val="24"/>
          <w:highlight w:val="none"/>
          <w:u w:val="single"/>
        </w:rPr>
        <w:t xml:space="preserve">                                     </w:t>
      </w:r>
      <w:r>
        <w:rPr>
          <w:rFonts w:ascii="Times New Roman" w:hAnsi="Times New Roman" w:cs="Times New Roman"/>
          <w:sz w:val="24"/>
          <w:highlight w:val="none"/>
        </w:rPr>
        <w:t xml:space="preserve"> </w:t>
      </w:r>
    </w:p>
    <w:p>
      <w:pPr>
        <w:spacing w:line="400" w:lineRule="exact"/>
        <w:ind w:firstLine="3420" w:firstLineChars="1425"/>
        <w:rPr>
          <w:rFonts w:ascii="Times New Roman" w:hAnsi="Times New Roman" w:cs="Times New Roman"/>
          <w:sz w:val="24"/>
          <w:highlight w:val="none"/>
        </w:rPr>
      </w:pPr>
      <w:r>
        <w:rPr>
          <w:rFonts w:hint="eastAsia" w:ascii="Times New Roman" w:hAnsi="Times New Roman" w:cs="Times New Roman"/>
          <w:sz w:val="24"/>
          <w:highlight w:val="none"/>
        </w:rPr>
        <w:t>电子邮箱</w:t>
      </w:r>
      <w:r>
        <w:rPr>
          <w:rFonts w:ascii="Times New Roman" w:hAnsi="Times New Roman" w:cs="Times New Roman"/>
          <w:sz w:val="24"/>
          <w:highlight w:val="none"/>
        </w:rPr>
        <w:t>：</w:t>
      </w:r>
      <w:r>
        <w:rPr>
          <w:rFonts w:ascii="Times New Roman" w:hAnsi="Times New Roman" w:cs="Times New Roman"/>
          <w:sz w:val="24"/>
          <w:highlight w:val="none"/>
          <w:u w:val="single"/>
        </w:rPr>
        <w:t xml:space="preserve">                                  </w:t>
      </w:r>
    </w:p>
    <w:p>
      <w:pPr>
        <w:spacing w:line="400" w:lineRule="exact"/>
        <w:ind w:firstLine="4740" w:firstLineChars="1975"/>
        <w:rPr>
          <w:rFonts w:ascii="Times New Roman" w:hAnsi="Times New Roman" w:cs="Times New Roman"/>
          <w:sz w:val="24"/>
          <w:highlight w:val="none"/>
        </w:rPr>
      </w:pPr>
      <w:r>
        <w:rPr>
          <w:rFonts w:ascii="Times New Roman" w:hAnsi="Times New Roman" w:cs="Times New Roman"/>
          <w:sz w:val="24"/>
          <w:highlight w:val="none"/>
          <w:u w:val="single"/>
        </w:rPr>
        <w:t xml:space="preserve">       </w:t>
      </w:r>
      <w:r>
        <w:rPr>
          <w:rFonts w:ascii="Times New Roman" w:hAnsi="Times New Roman" w:cs="Times New Roman"/>
          <w:sz w:val="24"/>
          <w:highlight w:val="none"/>
        </w:rPr>
        <w:t>年</w:t>
      </w:r>
      <w:r>
        <w:rPr>
          <w:rFonts w:ascii="Times New Roman" w:hAnsi="Times New Roman" w:cs="Times New Roman"/>
          <w:sz w:val="24"/>
          <w:highlight w:val="none"/>
          <w:u w:val="single"/>
        </w:rPr>
        <w:t xml:space="preserve">      </w:t>
      </w:r>
      <w:r>
        <w:rPr>
          <w:rFonts w:ascii="Times New Roman" w:hAnsi="Times New Roman" w:cs="Times New Roman"/>
          <w:sz w:val="24"/>
          <w:highlight w:val="none"/>
        </w:rPr>
        <w:t>月</w:t>
      </w:r>
      <w:r>
        <w:rPr>
          <w:rFonts w:ascii="Times New Roman" w:hAnsi="Times New Roman" w:cs="Times New Roman"/>
          <w:sz w:val="24"/>
          <w:highlight w:val="none"/>
          <w:u w:val="single"/>
        </w:rPr>
        <w:t xml:space="preserve">       </w:t>
      </w:r>
      <w:r>
        <w:rPr>
          <w:rFonts w:ascii="Times New Roman" w:hAnsi="Times New Roman" w:cs="Times New Roman"/>
          <w:sz w:val="24"/>
          <w:highlight w:val="none"/>
        </w:rPr>
        <w:t>日</w:t>
      </w:r>
    </w:p>
    <w:p>
      <w:pPr>
        <w:rPr>
          <w:rFonts w:ascii="Times New Roman" w:hAnsi="Times New Roman" w:cs="Times New Roman"/>
          <w:sz w:val="24"/>
          <w:highlight w:val="none"/>
        </w:rPr>
      </w:pPr>
      <w:r>
        <w:rPr>
          <w:rFonts w:ascii="Times New Roman" w:hAnsi="Times New Roman" w:cs="Times New Roman"/>
          <w:sz w:val="24"/>
          <w:highlight w:val="none"/>
        </w:rPr>
        <w:br w:type="page"/>
      </w:r>
    </w:p>
    <w:p>
      <w:pPr>
        <w:numPr>
          <w:ilvl w:val="0"/>
          <w:numId w:val="0"/>
        </w:numPr>
        <w:spacing w:line="440" w:lineRule="exact"/>
        <w:jc w:val="center"/>
        <w:rPr>
          <w:rFonts w:hint="eastAsia" w:ascii="Times New Roman" w:hAnsi="Times New Roman" w:eastAsia="黑体" w:cs="Times New Roman"/>
          <w:sz w:val="28"/>
          <w:szCs w:val="28"/>
          <w:highlight w:val="none"/>
          <w:lang w:val="en-US" w:eastAsia="zh-CN"/>
        </w:rPr>
      </w:pPr>
      <w:bookmarkStart w:id="153" w:name="_Toc162490440"/>
      <w:bookmarkStart w:id="154" w:name="_Toc153421230"/>
      <w:bookmarkStart w:id="155" w:name="_Toc272486050"/>
      <w:r>
        <w:rPr>
          <w:rFonts w:hint="eastAsia" w:ascii="Times New Roman" w:hAnsi="Times New Roman" w:eastAsia="黑体" w:cs="Times New Roman"/>
          <w:sz w:val="28"/>
          <w:szCs w:val="28"/>
          <w:highlight w:val="none"/>
          <w:lang w:val="en-US" w:eastAsia="zh-CN"/>
        </w:rPr>
        <w:t>二、</w:t>
      </w:r>
      <w:bookmarkEnd w:id="153"/>
      <w:bookmarkEnd w:id="154"/>
      <w:bookmarkEnd w:id="155"/>
      <w:r>
        <w:rPr>
          <w:rFonts w:hint="eastAsia" w:ascii="Times New Roman" w:hAnsi="Times New Roman" w:eastAsia="黑体" w:cs="Times New Roman"/>
          <w:sz w:val="28"/>
          <w:szCs w:val="28"/>
          <w:highlight w:val="none"/>
          <w:lang w:val="en-US" w:eastAsia="zh-CN"/>
        </w:rPr>
        <w:t>已标价的工程量清单</w:t>
      </w:r>
    </w:p>
    <w:p>
      <w:pPr>
        <w:spacing w:line="440" w:lineRule="exact"/>
        <w:rPr>
          <w:rFonts w:ascii="Times New Roman" w:hAnsi="Times New Roman" w:eastAsia="黑体" w:cs="Times New Roman"/>
          <w:color w:val="auto"/>
          <w:sz w:val="24"/>
          <w:highlight w:val="none"/>
        </w:rPr>
      </w:pPr>
    </w:p>
    <w:p>
      <w:pPr>
        <w:spacing w:line="360" w:lineRule="auto"/>
        <w:ind w:firstLine="281" w:firstLineChars="100"/>
        <w:jc w:val="center"/>
        <w:rPr>
          <w:rFonts w:hint="eastAsia" w:ascii="宋体" w:hAnsi="宋体" w:cs="宋体"/>
          <w:b/>
          <w:bCs/>
          <w:sz w:val="28"/>
          <w:szCs w:val="28"/>
          <w:highlight w:val="none"/>
        </w:rPr>
      </w:pPr>
      <w:r>
        <w:rPr>
          <w:rFonts w:hint="eastAsia" w:ascii="宋体" w:hAnsi="宋体" w:cs="宋体"/>
          <w:b/>
          <w:bCs/>
          <w:sz w:val="28"/>
          <w:szCs w:val="28"/>
          <w:highlight w:val="none"/>
        </w:rPr>
        <w:t>A．说明</w:t>
      </w:r>
    </w:p>
    <w:p>
      <w:pPr>
        <w:spacing w:line="360" w:lineRule="auto"/>
        <w:ind w:firstLine="437"/>
        <w:rPr>
          <w:sz w:val="22"/>
          <w:szCs w:val="21"/>
          <w:highlight w:val="none"/>
        </w:rPr>
      </w:pPr>
      <w:r>
        <w:rPr>
          <w:sz w:val="22"/>
          <w:szCs w:val="21"/>
          <w:highlight w:val="none"/>
        </w:rPr>
        <w:t>1．本</w:t>
      </w:r>
      <w:r>
        <w:rPr>
          <w:rFonts w:hint="eastAsia"/>
          <w:sz w:val="22"/>
          <w:szCs w:val="21"/>
          <w:highlight w:val="none"/>
        </w:rPr>
        <w:t>报价</w:t>
      </w:r>
      <w:r>
        <w:rPr>
          <w:sz w:val="22"/>
          <w:szCs w:val="21"/>
          <w:highlight w:val="none"/>
        </w:rPr>
        <w:t>清单应与投标人须知、专用合同条款、技术规格等文件结合起来查阅与理解。</w:t>
      </w:r>
    </w:p>
    <w:p>
      <w:pPr>
        <w:spacing w:line="360" w:lineRule="auto"/>
        <w:ind w:firstLine="437"/>
        <w:rPr>
          <w:sz w:val="22"/>
          <w:szCs w:val="21"/>
          <w:highlight w:val="none"/>
        </w:rPr>
      </w:pPr>
      <w:r>
        <w:rPr>
          <w:sz w:val="22"/>
          <w:szCs w:val="21"/>
          <w:highlight w:val="none"/>
        </w:rPr>
        <w:t>2．除非合同另有规定，清单中综合单价和总价应包括了为实施和完成合同所需的</w:t>
      </w:r>
      <w:r>
        <w:rPr>
          <w:rStyle w:val="42"/>
          <w:rFonts w:hint="eastAsia" w:asciiTheme="minorEastAsia" w:hAnsiTheme="minorEastAsia" w:eastAsiaTheme="minorEastAsia" w:cstheme="minorEastAsia"/>
          <w:kern w:val="2"/>
          <w:highlight w:val="none"/>
          <w:lang w:val="en-US" w:eastAsia="zh-CN" w:bidi="ar"/>
        </w:rPr>
        <w:t>材料的成本</w:t>
      </w:r>
      <w:r>
        <w:rPr>
          <w:rStyle w:val="42"/>
          <w:rFonts w:hint="eastAsia" w:asciiTheme="minorEastAsia" w:hAnsiTheme="minorEastAsia" w:cstheme="minorEastAsia"/>
          <w:kern w:val="2"/>
          <w:highlight w:val="none"/>
          <w:lang w:val="en-US" w:eastAsia="zh-CN" w:bidi="ar"/>
        </w:rPr>
        <w:t>（含辅材）</w:t>
      </w:r>
      <w:r>
        <w:rPr>
          <w:rStyle w:val="42"/>
          <w:rFonts w:hint="eastAsia" w:asciiTheme="minorEastAsia" w:hAnsiTheme="minorEastAsia" w:eastAsiaTheme="minorEastAsia" w:cstheme="minorEastAsia"/>
          <w:kern w:val="2"/>
          <w:highlight w:val="none"/>
          <w:lang w:val="en-US" w:eastAsia="zh-CN" w:bidi="ar"/>
        </w:rPr>
        <w:t>、利润、税费</w:t>
      </w:r>
      <w:r>
        <w:rPr>
          <w:rStyle w:val="42"/>
          <w:rFonts w:hint="eastAsia" w:asciiTheme="minorEastAsia" w:hAnsiTheme="minorEastAsia" w:cstheme="minorEastAsia"/>
          <w:kern w:val="2"/>
          <w:highlight w:val="none"/>
          <w:lang w:val="en-US" w:eastAsia="zh-CN" w:bidi="ar"/>
        </w:rPr>
        <w:t>（13%增值税）</w:t>
      </w:r>
      <w:r>
        <w:rPr>
          <w:rStyle w:val="42"/>
          <w:rFonts w:hint="eastAsia" w:asciiTheme="minorEastAsia" w:hAnsiTheme="minorEastAsia" w:eastAsiaTheme="minorEastAsia" w:cstheme="minorEastAsia"/>
          <w:kern w:val="2"/>
          <w:highlight w:val="none"/>
          <w:lang w:val="en-US" w:eastAsia="zh-CN" w:bidi="ar"/>
        </w:rPr>
        <w:t>、运输费、损耗费、装卸</w:t>
      </w:r>
      <w:r>
        <w:rPr>
          <w:rStyle w:val="42"/>
          <w:rFonts w:hint="eastAsia" w:asciiTheme="minorEastAsia" w:hAnsiTheme="minorEastAsia" w:cstheme="minorEastAsia"/>
          <w:kern w:val="2"/>
          <w:highlight w:val="none"/>
          <w:lang w:val="en-US" w:eastAsia="zh-CN" w:bidi="ar"/>
        </w:rPr>
        <w:t>费</w:t>
      </w:r>
      <w:r>
        <w:rPr>
          <w:rStyle w:val="42"/>
          <w:rFonts w:hint="eastAsia" w:asciiTheme="minorEastAsia" w:hAnsiTheme="minorEastAsia" w:eastAsiaTheme="minorEastAsia" w:cstheme="minorEastAsia"/>
          <w:kern w:val="2"/>
          <w:highlight w:val="none"/>
          <w:lang w:val="en-US" w:eastAsia="zh-CN" w:bidi="ar"/>
        </w:rPr>
        <w:t>、安装调试、检测费</w:t>
      </w:r>
      <w:r>
        <w:rPr>
          <w:rStyle w:val="42"/>
          <w:rFonts w:hint="eastAsia" w:asciiTheme="minorEastAsia" w:hAnsiTheme="minorEastAsia" w:cstheme="minorEastAsia"/>
          <w:kern w:val="2"/>
          <w:highlight w:val="none"/>
          <w:lang w:val="en-US" w:eastAsia="zh-CN" w:bidi="ar"/>
        </w:rPr>
        <w:t>（二次检测）</w:t>
      </w:r>
      <w:r>
        <w:rPr>
          <w:rStyle w:val="42"/>
          <w:rFonts w:hint="eastAsia" w:asciiTheme="minorEastAsia" w:hAnsiTheme="minorEastAsia" w:eastAsiaTheme="minorEastAsia" w:cstheme="minorEastAsia"/>
          <w:kern w:val="2"/>
          <w:highlight w:val="none"/>
          <w:lang w:val="en-US" w:eastAsia="zh-CN" w:bidi="ar"/>
        </w:rPr>
        <w:t>、技术服务、商业保险费、验收费</w:t>
      </w:r>
      <w:r>
        <w:rPr>
          <w:sz w:val="22"/>
          <w:szCs w:val="21"/>
          <w:highlight w:val="none"/>
        </w:rPr>
        <w:t>等达到使用条件及质保期维护维修的一切费用，以及合同约定的所有责任、义务和一般风险。</w:t>
      </w:r>
    </w:p>
    <w:p>
      <w:pPr>
        <w:spacing w:line="360" w:lineRule="auto"/>
        <w:ind w:firstLine="437"/>
        <w:rPr>
          <w:sz w:val="22"/>
          <w:szCs w:val="21"/>
          <w:highlight w:val="none"/>
        </w:rPr>
      </w:pPr>
      <w:r>
        <w:rPr>
          <w:sz w:val="22"/>
          <w:szCs w:val="21"/>
          <w:highlight w:val="none"/>
        </w:rPr>
        <w:t>3．</w:t>
      </w:r>
      <w:r>
        <w:rPr>
          <w:rFonts w:hint="eastAsia"/>
          <w:sz w:val="22"/>
          <w:szCs w:val="21"/>
          <w:highlight w:val="none"/>
        </w:rPr>
        <w:t>报价</w:t>
      </w:r>
      <w:r>
        <w:rPr>
          <w:sz w:val="22"/>
          <w:szCs w:val="21"/>
          <w:highlight w:val="none"/>
        </w:rPr>
        <w:t>清单中的各项费用货币单位均为人民币(元)。</w:t>
      </w:r>
    </w:p>
    <w:p>
      <w:pPr>
        <w:spacing w:line="360" w:lineRule="auto"/>
        <w:ind w:firstLine="437"/>
        <w:rPr>
          <w:rFonts w:hint="eastAsia"/>
          <w:sz w:val="22"/>
          <w:szCs w:val="21"/>
          <w:highlight w:val="none"/>
        </w:rPr>
      </w:pPr>
      <w:r>
        <w:rPr>
          <w:sz w:val="22"/>
          <w:szCs w:val="21"/>
          <w:highlight w:val="none"/>
        </w:rPr>
        <w:t>4．交货期以合同签订之日起算</w:t>
      </w:r>
      <w:r>
        <w:rPr>
          <w:rFonts w:hint="eastAsia"/>
          <w:sz w:val="22"/>
          <w:szCs w:val="21"/>
          <w:highlight w:val="none"/>
        </w:rPr>
        <w:t>。</w:t>
      </w:r>
    </w:p>
    <w:p>
      <w:pPr>
        <w:pStyle w:val="19"/>
        <w:jc w:val="right"/>
        <w:rPr>
          <w:rFonts w:hint="eastAsia"/>
          <w:highlight w:val="none"/>
          <w:lang w:val="en-US" w:eastAsia="zh-CN"/>
        </w:rPr>
      </w:pPr>
    </w:p>
    <w:p>
      <w:pPr>
        <w:pStyle w:val="19"/>
        <w:rPr>
          <w:rFonts w:hint="eastAsia"/>
          <w:highlight w:val="none"/>
          <w:lang w:val="en-US" w:eastAsia="zh-CN"/>
        </w:rPr>
      </w:pPr>
    </w:p>
    <w:p>
      <w:pPr>
        <w:rPr>
          <w:rFonts w:hint="eastAsia"/>
          <w:highlight w:val="none"/>
          <w:lang w:val="en-US" w:eastAsia="zh-CN"/>
        </w:rPr>
        <w:sectPr>
          <w:headerReference r:id="rId15" w:type="default"/>
          <w:footerReference r:id="rId16" w:type="default"/>
          <w:pgSz w:w="11906" w:h="16838"/>
          <w:pgMar w:top="1440" w:right="1800" w:bottom="1440" w:left="1800" w:header="851" w:footer="992" w:gutter="0"/>
          <w:pgNumType w:fmt="decimal"/>
          <w:cols w:space="425" w:num="1"/>
          <w:docGrid w:type="lines" w:linePitch="312" w:charSpace="0"/>
        </w:sectPr>
      </w:pPr>
      <w:r>
        <w:rPr>
          <w:rFonts w:hint="eastAsia"/>
          <w:highlight w:val="none"/>
          <w:lang w:val="en-US" w:eastAsia="zh-CN"/>
        </w:rPr>
        <w:br w:type="page"/>
      </w:r>
    </w:p>
    <w:p>
      <w:pPr>
        <w:pStyle w:val="20"/>
        <w:rPr>
          <w:rFonts w:hint="eastAsia"/>
          <w:highlight w:val="none"/>
          <w:lang w:val="en-US" w:eastAsia="zh-CN"/>
        </w:rPr>
      </w:pPr>
    </w:p>
    <w:p>
      <w:pPr>
        <w:pStyle w:val="6"/>
        <w:numPr>
          <w:ilvl w:val="0"/>
          <w:numId w:val="0"/>
        </w:numPr>
        <w:ind w:left="417" w:leftChars="0"/>
        <w:jc w:val="center"/>
        <w:rPr>
          <w:rFonts w:hint="eastAsia" w:ascii="宋体" w:hAnsi="宋体" w:eastAsia="宋体" w:cs="宋体"/>
          <w:bCs/>
          <w:kern w:val="2"/>
          <w:sz w:val="28"/>
          <w:szCs w:val="28"/>
          <w:highlight w:val="none"/>
          <w:lang w:eastAsia="zh-CN"/>
        </w:rPr>
      </w:pPr>
      <w:r>
        <w:rPr>
          <w:rFonts w:hint="eastAsia" w:ascii="宋体" w:hAnsi="宋体" w:cs="宋体"/>
          <w:b/>
          <w:bCs w:val="0"/>
          <w:sz w:val="28"/>
          <w:szCs w:val="24"/>
          <w:highlight w:val="none"/>
        </w:rPr>
        <w:t>B.</w:t>
      </w:r>
      <w:r>
        <w:rPr>
          <w:rFonts w:hint="eastAsia" w:ascii="宋体" w:hAnsi="宋体" w:cs="宋体"/>
          <w:b w:val="0"/>
          <w:bCs/>
          <w:sz w:val="28"/>
          <w:szCs w:val="24"/>
          <w:highlight w:val="none"/>
        </w:rPr>
        <w:t xml:space="preserve"> </w:t>
      </w:r>
      <w:r>
        <w:rPr>
          <w:rFonts w:hint="eastAsia" w:ascii="宋体" w:hAnsi="宋体" w:eastAsia="宋体" w:cs="宋体"/>
          <w:bCs/>
          <w:kern w:val="2"/>
          <w:sz w:val="28"/>
          <w:szCs w:val="28"/>
          <w:highlight w:val="none"/>
          <w:lang w:eastAsia="zh-CN"/>
        </w:rPr>
        <w:t>已标价工程量清单</w:t>
      </w:r>
    </w:p>
    <w:p>
      <w:pPr>
        <w:spacing w:line="360" w:lineRule="auto"/>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投标人按照招标人提供的“工程量清单”的要求逐项填报工程量清单，包括但不限于工程量清单说明、投标报价说明及工程量清单各项表格。</w:t>
      </w: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p>
    <w:p>
      <w:pPr>
        <w:spacing w:line="360" w:lineRule="auto"/>
        <w:jc w:val="cente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安徽交控集团2023年度服务区综合改造提升工程（EPC）项目卫生间隔断采购项目报价单</w:t>
      </w:r>
    </w:p>
    <w:tbl>
      <w:tblPr>
        <w:tblStyle w:val="21"/>
        <w:tblW w:w="133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
        <w:gridCol w:w="617"/>
        <w:gridCol w:w="1187"/>
        <w:gridCol w:w="7170"/>
        <w:gridCol w:w="696"/>
        <w:gridCol w:w="954"/>
        <w:gridCol w:w="1113"/>
        <w:gridCol w:w="1151"/>
        <w:gridCol w:w="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3369"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卫生间隔断报价单（含安装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78" w:type="dxa"/>
          <w:wAfter w:w="403" w:type="dxa"/>
          <w:trHeight w:val="478"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项目特征描述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计量</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工程量</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单价（元）</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8" w:type="dxa"/>
          <w:wAfter w:w="403" w:type="dxa"/>
          <w:trHeight w:val="1890"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小便器成品隔断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1、部位：东西区公厕小便器隔断2、隔断材料：钢板厚0.8mm，总厚度20mm木纹铝蜂窝板成品隔断3、规格、尺寸：800mm*400mm4、防火等级：A级 5、材质：优等钢板、铝合金6、表面处理：花纹可定制 7、含所有五金配件8、具体详见现场、图纸、图集、招标文件、招标文件补遗、政府相关文件、规范等其它资料，满足验收及使用要求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720.42</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8" w:type="dxa"/>
          <w:wAfter w:w="403" w:type="dxa"/>
          <w:trHeight w:val="2591"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蹲坑成品隔断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1、部位：蹲坑隔断2、隔断材料：20mm木纹铝蜂窝板,钢板厚0.8mm，总厚度20mm成品隔断3、规格、尺寸：高2200mm4、防火等级：A级 5、材质：优等钢板、铝合金6、表面处理：花纹可定制 7、含隔断板上下黑钛金不锈钢饰面，含所有五金配件及不锈钢挂钩8、颜色：男卫生间隔断门（浅蓝色铝蜂窝板），女卫生间隔断门（粉色铝蜂窝板，卫生间隔断（浅灰色铝蜂窝板）9、具体详见现场、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4813.58</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8" w:type="dxa"/>
          <w:wAfter w:w="403" w:type="dxa"/>
          <w:trHeight w:val="1333"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default" w:ascii="Arial" w:hAnsi="Arial" w:eastAsia="宋体" w:cs="Arial"/>
                <w:i w:val="0"/>
                <w:iCs w:val="0"/>
                <w:color w:val="000000"/>
                <w:kern w:val="0"/>
                <w:sz w:val="20"/>
                <w:szCs w:val="20"/>
                <w:highlight w:val="none"/>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成品抗倍特板隔断</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1、部位：卫生间成品隔断（含配件及不锈钢挂钩）2、成品抗倍特板隔断3、具体详见现场、图纸、图集、招标文件、招标文件补遗、政府相关文件、规范等其它资料，满足验收及使用要求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m2</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470.15</w:t>
            </w:r>
          </w:p>
        </w:tc>
        <w:tc>
          <w:tcPr>
            <w:tcW w:w="11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8" w:type="dxa"/>
          <w:wAfter w:w="403" w:type="dxa"/>
          <w:trHeight w:val="85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0"/>
                <w:szCs w:val="20"/>
                <w:highlight w:val="none"/>
                <w:u w:val="none"/>
                <w:lang w:val="en-US" w:eastAsia="zh-CN" w:bidi="ar"/>
              </w:rPr>
            </w:pPr>
            <w:r>
              <w:rPr>
                <w:rFonts w:hint="eastAsia" w:ascii="Arial" w:hAnsi="Arial" w:eastAsia="宋体" w:cs="Arial"/>
                <w:i w:val="0"/>
                <w:iCs w:val="0"/>
                <w:color w:val="000000"/>
                <w:kern w:val="0"/>
                <w:sz w:val="20"/>
                <w:szCs w:val="20"/>
                <w:highlight w:val="none"/>
                <w:u w:val="none"/>
                <w:lang w:val="en-US" w:eastAsia="zh-CN" w:bidi="ar"/>
              </w:rPr>
              <w:t>4</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不锈钢手机置物架</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优等不锈钢材质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个</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eastAsiaTheme="minorEastAsia"/>
                <w:i w:val="0"/>
                <w:iCs w:val="0"/>
                <w:color w:val="000000"/>
                <w:sz w:val="20"/>
                <w:szCs w:val="20"/>
                <w:highlight w:val="none"/>
                <w:u w:val="none"/>
                <w:lang w:val="en-US" w:eastAsia="zh-CN"/>
              </w:rPr>
            </w:pPr>
            <w:r>
              <w:rPr>
                <w:rFonts w:hint="eastAsia" w:ascii="Arial" w:hAnsi="Arial" w:cs="Arial"/>
                <w:i w:val="0"/>
                <w:iCs w:val="0"/>
                <w:color w:val="000000"/>
                <w:sz w:val="20"/>
                <w:szCs w:val="20"/>
                <w:highlight w:val="none"/>
                <w:u w:val="none"/>
                <w:lang w:val="en-US" w:eastAsia="zh-CN"/>
              </w:rPr>
              <w:t>500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78" w:type="dxa"/>
          <w:wAfter w:w="403" w:type="dxa"/>
          <w:trHeight w:val="796" w:hRule="atLeast"/>
          <w:jc w:val="center"/>
        </w:trPr>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iCs w:val="0"/>
                <w:color w:val="000000"/>
                <w:sz w:val="20"/>
                <w:szCs w:val="20"/>
                <w:highlight w:val="none"/>
                <w:u w:val="none"/>
              </w:rPr>
            </w:pPr>
            <w:r>
              <w:rPr>
                <w:rFonts w:hint="eastAsia" w:ascii="Arial" w:hAnsi="Arial" w:eastAsia="宋体" w:cs="Arial"/>
                <w:i w:val="0"/>
                <w:iCs w:val="0"/>
                <w:color w:val="000000"/>
                <w:kern w:val="0"/>
                <w:sz w:val="20"/>
                <w:szCs w:val="20"/>
                <w:highlight w:val="none"/>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c>
          <w:tcPr>
            <w:tcW w:w="7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20"/>
                <w:szCs w:val="20"/>
                <w:highlight w:val="none"/>
                <w:u w:val="none"/>
              </w:rPr>
            </w:pPr>
          </w:p>
        </w:tc>
      </w:tr>
    </w:tbl>
    <w:p>
      <w:pPr>
        <w:pStyle w:val="15"/>
        <w:rPr>
          <w:rFonts w:hint="eastAsia"/>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60" w:lineRule="exact"/>
        <w:ind w:firstLine="442" w:firstLineChars="200"/>
        <w:jc w:val="both"/>
        <w:textAlignment w:val="auto"/>
        <w:rPr>
          <w:rStyle w:val="42"/>
          <w:rFonts w:hint="default" w:asciiTheme="minorEastAsia" w:hAnsiTheme="minorEastAsia" w:eastAsiaTheme="minorEastAsia" w:cstheme="minorEastAsia"/>
          <w:b/>
          <w:bCs/>
          <w:kern w:val="2"/>
          <w:highlight w:val="none"/>
          <w:lang w:val="en-US" w:eastAsia="zh-CN" w:bidi="ar"/>
        </w:rPr>
      </w:pPr>
      <w:r>
        <w:rPr>
          <w:rStyle w:val="42"/>
          <w:rFonts w:hint="eastAsia" w:asciiTheme="minorEastAsia" w:hAnsiTheme="minorEastAsia" w:eastAsiaTheme="minorEastAsia" w:cstheme="minorEastAsia"/>
          <w:b/>
          <w:bCs/>
          <w:kern w:val="2"/>
          <w:highlight w:val="none"/>
          <w:lang w:val="en-US" w:eastAsia="zh-CN" w:bidi="ar"/>
        </w:rPr>
        <w:t>备注：单价为综合单价系货物到达甲方指定交货地点的一切费用</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包含材料的成本</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含辅材</w:t>
      </w:r>
      <w:r>
        <w:rPr>
          <w:rStyle w:val="42"/>
          <w:rFonts w:hint="eastAsia" w:asciiTheme="minorEastAsia" w:hAnsiTheme="minorEastAsia" w:cstheme="minorEastAsia"/>
          <w:b/>
          <w:bCs/>
          <w:kern w:val="2"/>
          <w:highlight w:val="none"/>
          <w:lang w:val="en-US" w:eastAsia="zh-CN" w:bidi="ar"/>
        </w:rPr>
        <w:t>）</w:t>
      </w:r>
      <w:r>
        <w:rPr>
          <w:rStyle w:val="42"/>
          <w:rFonts w:hint="eastAsia" w:asciiTheme="minorEastAsia" w:hAnsiTheme="minorEastAsia" w:eastAsiaTheme="minorEastAsia" w:cstheme="minorEastAsia"/>
          <w:b/>
          <w:bCs/>
          <w:kern w:val="2"/>
          <w:highlight w:val="none"/>
          <w:lang w:val="en-US" w:eastAsia="zh-CN" w:bidi="ar"/>
        </w:rPr>
        <w:t>、利润、税费</w:t>
      </w:r>
      <w:r>
        <w:rPr>
          <w:rStyle w:val="42"/>
          <w:rFonts w:hint="eastAsia" w:asciiTheme="minorEastAsia" w:hAnsiTheme="minorEastAsia" w:cstheme="minorEastAsia"/>
          <w:b/>
          <w:bCs/>
          <w:kern w:val="2"/>
          <w:highlight w:val="none"/>
          <w:lang w:val="en-US" w:eastAsia="zh-CN" w:bidi="ar"/>
        </w:rPr>
        <w:t>（13%增值税）</w:t>
      </w:r>
      <w:r>
        <w:rPr>
          <w:rStyle w:val="42"/>
          <w:rFonts w:hint="eastAsia" w:asciiTheme="minorEastAsia" w:hAnsiTheme="minorEastAsia" w:eastAsiaTheme="minorEastAsia" w:cstheme="minorEastAsia"/>
          <w:b/>
          <w:bCs/>
          <w:kern w:val="2"/>
          <w:highlight w:val="none"/>
          <w:lang w:val="en-US" w:eastAsia="zh-CN" w:bidi="ar"/>
        </w:rPr>
        <w:t>、运输费、损耗费、装卸</w:t>
      </w:r>
      <w:r>
        <w:rPr>
          <w:rStyle w:val="42"/>
          <w:rFonts w:hint="eastAsia" w:asciiTheme="minorEastAsia" w:hAnsiTheme="minorEastAsia" w:cstheme="minorEastAsia"/>
          <w:b/>
          <w:bCs/>
          <w:kern w:val="2"/>
          <w:highlight w:val="none"/>
          <w:lang w:val="en-US" w:eastAsia="zh-CN" w:bidi="ar"/>
        </w:rPr>
        <w:t>费</w:t>
      </w:r>
      <w:r>
        <w:rPr>
          <w:rStyle w:val="42"/>
          <w:rFonts w:hint="eastAsia" w:asciiTheme="minorEastAsia" w:hAnsiTheme="minorEastAsia" w:eastAsiaTheme="minorEastAsia" w:cstheme="minorEastAsia"/>
          <w:b/>
          <w:bCs/>
          <w:kern w:val="2"/>
          <w:highlight w:val="none"/>
          <w:lang w:val="en-US" w:eastAsia="zh-CN" w:bidi="ar"/>
        </w:rPr>
        <w:t>、检测费</w:t>
      </w:r>
      <w:r>
        <w:rPr>
          <w:rStyle w:val="42"/>
          <w:rFonts w:hint="eastAsia" w:asciiTheme="minorEastAsia" w:hAnsiTheme="minorEastAsia" w:cstheme="minorEastAsia"/>
          <w:b/>
          <w:bCs/>
          <w:kern w:val="2"/>
          <w:highlight w:val="none"/>
          <w:lang w:val="en-US" w:eastAsia="zh-CN" w:bidi="ar"/>
        </w:rPr>
        <w:t>（二次检测）</w:t>
      </w:r>
      <w:r>
        <w:rPr>
          <w:rStyle w:val="42"/>
          <w:rFonts w:hint="eastAsia" w:asciiTheme="minorEastAsia" w:hAnsiTheme="minorEastAsia" w:eastAsiaTheme="minorEastAsia" w:cstheme="minorEastAsia"/>
          <w:b/>
          <w:bCs/>
          <w:kern w:val="2"/>
          <w:highlight w:val="none"/>
          <w:lang w:val="en-US" w:eastAsia="zh-CN" w:bidi="ar"/>
        </w:rPr>
        <w:t>、安装调试、技术服务、商业保险费、验收费等为履行本合同义务所需的一切费用及承担的风险，为固定单价。</w:t>
      </w:r>
    </w:p>
    <w:p>
      <w:pPr>
        <w:rPr>
          <w:highlight w:val="none"/>
        </w:rPr>
      </w:pPr>
    </w:p>
    <w:p>
      <w:pPr>
        <w:rPr>
          <w:rFonts w:ascii="Times New Roman" w:hAnsi="Times New Roman" w:cs="Times New Roman"/>
          <w:highlight w:val="none"/>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D67503-3065-4052-A9A7-315FA7F83431}"/>
  </w:font>
  <w:font w:name="黑体">
    <w:panose1 w:val="02010609060101010101"/>
    <w:charset w:val="86"/>
    <w:family w:val="auto"/>
    <w:pitch w:val="default"/>
    <w:sig w:usb0="800002BF" w:usb1="38CF7CFA" w:usb2="00000016" w:usb3="00000000" w:csb0="00040001" w:csb1="00000000"/>
    <w:embedRegular r:id="rId2" w:fontKey="{E1434F76-56D4-45F8-AABD-F9596E9DC5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ADE52EE-3BD2-4FB8-AFD3-9085B09C8029}"/>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5C99CB1D-2624-4C95-9D5A-01D0BCC63BE0}"/>
  </w:font>
  <w:font w:name="仿宋">
    <w:panose1 w:val="02010609060101010101"/>
    <w:charset w:val="86"/>
    <w:family w:val="modern"/>
    <w:pitch w:val="default"/>
    <w:sig w:usb0="800002BF" w:usb1="38CF7CFA" w:usb2="00000016" w:usb3="00000000" w:csb0="00040001" w:csb1="00000000"/>
    <w:embedRegular r:id="rId5" w:fontKey="{6D8CA18C-923E-4941-8944-C42DB46EE5DA}"/>
  </w:font>
  <w:font w:name="华文楷体">
    <w:panose1 w:val="02010600040101010101"/>
    <w:charset w:val="86"/>
    <w:family w:val="auto"/>
    <w:pitch w:val="default"/>
    <w:sig w:usb0="00000287" w:usb1="080F0000" w:usb2="00000000" w:usb3="00000000" w:csb0="0004009F" w:csb1="DFD70000"/>
    <w:embedRegular r:id="rId6" w:fontKey="{7F597EEC-9004-4BBD-B963-44BB31958F0A}"/>
  </w:font>
  <w:font w:name="楷体">
    <w:panose1 w:val="02010609060101010101"/>
    <w:charset w:val="86"/>
    <w:family w:val="auto"/>
    <w:pitch w:val="default"/>
    <w:sig w:usb0="800002BF" w:usb1="38CF7CFA" w:usb2="00000016" w:usb3="00000000" w:csb0="00040001" w:csb1="00000000"/>
    <w:embedRegular r:id="rId7" w:fontKey="{69D85952-1F6A-42F5-9AB8-E9E1AA941C7A}"/>
  </w:font>
  <w:font w:name="方正小标宋简体">
    <w:panose1 w:val="03000509000000000000"/>
    <w:charset w:val="86"/>
    <w:family w:val="auto"/>
    <w:pitch w:val="default"/>
    <w:sig w:usb0="00000001" w:usb1="080E0000" w:usb2="00000000" w:usb3="00000000" w:csb0="00040000" w:csb1="00000000"/>
    <w:embedRegular r:id="rId8" w:fontKey="{FE14D776-FF08-4F2A-BE36-5EDEE718E6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p>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p>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tabs>
        <w:tab w:val="left" w:pos="843"/>
        <w:tab w:val="clear" w:pos="4153"/>
      </w:tabs>
      <w:jc w:val="left"/>
      <w:rPr>
        <w:rFonts w:hint="eastAsia" w:ascii="楷体" w:hAnsi="楷体" w:eastAsia="楷体" w:cs="楷体"/>
        <w:sz w:val="21"/>
        <w:szCs w:val="21"/>
        <w:lang w:val="en-US" w:eastAsia="zh-CN"/>
      </w:rPr>
    </w:pPr>
    <w:r>
      <w:rPr>
        <w:sz w:val="21"/>
      </w:rPr>
      <w:pict>
        <v:shape id="PowerPlusWaterMarkObject154064" o:spid="_x0000_s4099" o:spt="136" type="#_x0000_t136" style="position:absolute;left:0pt;height:62.3pt;width:524.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安徽省经工物资有限公司" style="font-family:微软雅黑;font-size:36pt;v-same-letter-heights:f;v-text-align:center;"/>
        </v:shape>
      </w:pict>
    </w:r>
    <w:r>
      <w:rPr>
        <w:rFonts w:hint="eastAsia" w:ascii="楷体" w:hAnsi="楷体" w:eastAsia="楷体" w:cs="楷体"/>
        <w:sz w:val="21"/>
        <w:szCs w:val="21"/>
        <w:lang w:val="en-US"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auto" w:sz="12" w:space="1"/>
      </w:pBdr>
      <w:jc w:val="left"/>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安徽省经工物资有限公司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1F7DF52"/>
    <w:multiLevelType w:val="singleLevel"/>
    <w:tmpl w:val="A1F7DF52"/>
    <w:lvl w:ilvl="0" w:tentative="0">
      <w:start w:val="1"/>
      <w:numFmt w:val="decimal"/>
      <w:lvlText w:val="%1."/>
      <w:lvlJc w:val="left"/>
      <w:pPr>
        <w:tabs>
          <w:tab w:val="left" w:pos="312"/>
        </w:tabs>
      </w:pPr>
    </w:lvl>
  </w:abstractNum>
  <w:abstractNum w:abstractNumId="2">
    <w:nsid w:val="AF0C7C81"/>
    <w:multiLevelType w:val="singleLevel"/>
    <w:tmpl w:val="AF0C7C81"/>
    <w:lvl w:ilvl="0" w:tentative="0">
      <w:start w:val="1"/>
      <w:numFmt w:val="decimal"/>
      <w:suff w:val="nothing"/>
      <w:lvlText w:val="（%1）"/>
      <w:lvlJc w:val="left"/>
    </w:lvl>
  </w:abstractNum>
  <w:abstractNum w:abstractNumId="3">
    <w:nsid w:val="CF8F6265"/>
    <w:multiLevelType w:val="singleLevel"/>
    <w:tmpl w:val="CF8F6265"/>
    <w:lvl w:ilvl="0" w:tentative="0">
      <w:start w:val="1"/>
      <w:numFmt w:val="decimal"/>
      <w:suff w:val="nothing"/>
      <w:lvlText w:val="%1、"/>
      <w:lvlJc w:val="left"/>
    </w:lvl>
  </w:abstractNum>
  <w:abstractNum w:abstractNumId="4">
    <w:nsid w:val="1663D81F"/>
    <w:multiLevelType w:val="singleLevel"/>
    <w:tmpl w:val="1663D81F"/>
    <w:lvl w:ilvl="0" w:tentative="0">
      <w:start w:val="2"/>
      <w:numFmt w:val="decimal"/>
      <w:suff w:val="nothing"/>
      <w:lvlText w:val="%1、"/>
      <w:lvlJc w:val="left"/>
    </w:lvl>
  </w:abstractNum>
  <w:abstractNum w:abstractNumId="5">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6">
    <w:nsid w:val="61C7D68E"/>
    <w:multiLevelType w:val="singleLevel"/>
    <w:tmpl w:val="61C7D68E"/>
    <w:lvl w:ilvl="0" w:tentative="0">
      <w:start w:val="1"/>
      <w:numFmt w:val="decimal"/>
      <w:suff w:val="nothing"/>
      <w:lvlText w:val="%1、"/>
      <w:lvlJc w:val="left"/>
    </w:lvl>
  </w:abstractNum>
  <w:num w:numId="1">
    <w:abstractNumId w:val="0"/>
  </w:num>
  <w:num w:numId="2">
    <w:abstractNumId w:val="5"/>
  </w:num>
  <w:num w:numId="3">
    <w:abstractNumId w:val="1"/>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ZjY4NmVlYjljNTAxY2NhOTE0OGE1NDhhZDI0N2YifQ=="/>
  </w:docVars>
  <w:rsids>
    <w:rsidRoot w:val="6F4D02A4"/>
    <w:rsid w:val="0022317B"/>
    <w:rsid w:val="00302DB5"/>
    <w:rsid w:val="00302F3A"/>
    <w:rsid w:val="005607D6"/>
    <w:rsid w:val="00653222"/>
    <w:rsid w:val="00691F7C"/>
    <w:rsid w:val="006C20CB"/>
    <w:rsid w:val="00724BD4"/>
    <w:rsid w:val="007C6E94"/>
    <w:rsid w:val="00E8570D"/>
    <w:rsid w:val="014A4AD7"/>
    <w:rsid w:val="01662343"/>
    <w:rsid w:val="023E3C6A"/>
    <w:rsid w:val="024131A1"/>
    <w:rsid w:val="028D5673"/>
    <w:rsid w:val="02D346A3"/>
    <w:rsid w:val="033A1DE9"/>
    <w:rsid w:val="038863C7"/>
    <w:rsid w:val="03A9557F"/>
    <w:rsid w:val="03D11757"/>
    <w:rsid w:val="04701D1E"/>
    <w:rsid w:val="04D921EE"/>
    <w:rsid w:val="04E034BC"/>
    <w:rsid w:val="05F94BA8"/>
    <w:rsid w:val="06341F34"/>
    <w:rsid w:val="068727A0"/>
    <w:rsid w:val="06D017C2"/>
    <w:rsid w:val="07063EDC"/>
    <w:rsid w:val="073A5458"/>
    <w:rsid w:val="076958CF"/>
    <w:rsid w:val="09210464"/>
    <w:rsid w:val="09D50CE7"/>
    <w:rsid w:val="0A2E7496"/>
    <w:rsid w:val="0A466107"/>
    <w:rsid w:val="0A7005A2"/>
    <w:rsid w:val="0A941F2B"/>
    <w:rsid w:val="0BDD422F"/>
    <w:rsid w:val="0CB04615"/>
    <w:rsid w:val="0D051E9D"/>
    <w:rsid w:val="0D190BED"/>
    <w:rsid w:val="0DBD0BDC"/>
    <w:rsid w:val="0DE02F17"/>
    <w:rsid w:val="0EBA46A3"/>
    <w:rsid w:val="0EBB2DAD"/>
    <w:rsid w:val="0F6F4854"/>
    <w:rsid w:val="0F9F0794"/>
    <w:rsid w:val="0FBE1FCA"/>
    <w:rsid w:val="103E486A"/>
    <w:rsid w:val="106D5B52"/>
    <w:rsid w:val="1090350E"/>
    <w:rsid w:val="10944070"/>
    <w:rsid w:val="10A6372F"/>
    <w:rsid w:val="10DA535D"/>
    <w:rsid w:val="110D2AFF"/>
    <w:rsid w:val="11DF30C9"/>
    <w:rsid w:val="129325F3"/>
    <w:rsid w:val="12CA1FCB"/>
    <w:rsid w:val="12FA3B2F"/>
    <w:rsid w:val="13E11194"/>
    <w:rsid w:val="140548F4"/>
    <w:rsid w:val="14464682"/>
    <w:rsid w:val="144A391D"/>
    <w:rsid w:val="15133F2C"/>
    <w:rsid w:val="1611702A"/>
    <w:rsid w:val="163D1F3A"/>
    <w:rsid w:val="17716EB9"/>
    <w:rsid w:val="17FC3132"/>
    <w:rsid w:val="188C4113"/>
    <w:rsid w:val="19061192"/>
    <w:rsid w:val="191A46EE"/>
    <w:rsid w:val="194F7DBB"/>
    <w:rsid w:val="19647370"/>
    <w:rsid w:val="19DE1C05"/>
    <w:rsid w:val="1A3C6E09"/>
    <w:rsid w:val="1A657CD8"/>
    <w:rsid w:val="1AA97D25"/>
    <w:rsid w:val="1B313D78"/>
    <w:rsid w:val="1B87260E"/>
    <w:rsid w:val="1C0C5403"/>
    <w:rsid w:val="1C511068"/>
    <w:rsid w:val="1C7A46C5"/>
    <w:rsid w:val="1CD07137"/>
    <w:rsid w:val="1CF12CD2"/>
    <w:rsid w:val="1D3772E3"/>
    <w:rsid w:val="1D3F5364"/>
    <w:rsid w:val="1D9664E5"/>
    <w:rsid w:val="1D9C6C71"/>
    <w:rsid w:val="1DD02C25"/>
    <w:rsid w:val="1E7C29FC"/>
    <w:rsid w:val="1E7E7378"/>
    <w:rsid w:val="1EC93137"/>
    <w:rsid w:val="1F026649"/>
    <w:rsid w:val="1F93095F"/>
    <w:rsid w:val="1FB449F5"/>
    <w:rsid w:val="1FC01B05"/>
    <w:rsid w:val="1FCE5A3B"/>
    <w:rsid w:val="20220D88"/>
    <w:rsid w:val="202D724A"/>
    <w:rsid w:val="20C3052D"/>
    <w:rsid w:val="20CE712B"/>
    <w:rsid w:val="20E701EC"/>
    <w:rsid w:val="2211172D"/>
    <w:rsid w:val="22806203"/>
    <w:rsid w:val="22A243CB"/>
    <w:rsid w:val="22F369D5"/>
    <w:rsid w:val="23552482"/>
    <w:rsid w:val="23610B8C"/>
    <w:rsid w:val="241D716E"/>
    <w:rsid w:val="244A6AC8"/>
    <w:rsid w:val="24555BBE"/>
    <w:rsid w:val="248751A0"/>
    <w:rsid w:val="24A7216D"/>
    <w:rsid w:val="250B2E19"/>
    <w:rsid w:val="2613091A"/>
    <w:rsid w:val="265909F3"/>
    <w:rsid w:val="26703713"/>
    <w:rsid w:val="27621A0B"/>
    <w:rsid w:val="279E7B84"/>
    <w:rsid w:val="27B103DE"/>
    <w:rsid w:val="27DE38B4"/>
    <w:rsid w:val="285445B2"/>
    <w:rsid w:val="28D24D9C"/>
    <w:rsid w:val="28FE7045"/>
    <w:rsid w:val="2941798C"/>
    <w:rsid w:val="294C5129"/>
    <w:rsid w:val="295C70D0"/>
    <w:rsid w:val="29661399"/>
    <w:rsid w:val="29AA0009"/>
    <w:rsid w:val="29FA4AED"/>
    <w:rsid w:val="2A8F70B0"/>
    <w:rsid w:val="2ABB52A8"/>
    <w:rsid w:val="2ABD4D9D"/>
    <w:rsid w:val="2AE43776"/>
    <w:rsid w:val="2B1D5459"/>
    <w:rsid w:val="2B274C40"/>
    <w:rsid w:val="2CC548F1"/>
    <w:rsid w:val="2CE63732"/>
    <w:rsid w:val="2D141CF6"/>
    <w:rsid w:val="2D984126"/>
    <w:rsid w:val="2E094608"/>
    <w:rsid w:val="2E0A4375"/>
    <w:rsid w:val="2E2A3B5A"/>
    <w:rsid w:val="2E572B9D"/>
    <w:rsid w:val="2E6740D2"/>
    <w:rsid w:val="2ED128BE"/>
    <w:rsid w:val="2ED8288A"/>
    <w:rsid w:val="2F280A0F"/>
    <w:rsid w:val="300246FB"/>
    <w:rsid w:val="30793AE8"/>
    <w:rsid w:val="319B3695"/>
    <w:rsid w:val="322D5429"/>
    <w:rsid w:val="32332253"/>
    <w:rsid w:val="324271A8"/>
    <w:rsid w:val="333F226C"/>
    <w:rsid w:val="33A12A69"/>
    <w:rsid w:val="33BB0621"/>
    <w:rsid w:val="33C26030"/>
    <w:rsid w:val="34F14D3E"/>
    <w:rsid w:val="35201A23"/>
    <w:rsid w:val="35843E04"/>
    <w:rsid w:val="361938E0"/>
    <w:rsid w:val="36C144C3"/>
    <w:rsid w:val="37F45271"/>
    <w:rsid w:val="38894DE3"/>
    <w:rsid w:val="388C7CC2"/>
    <w:rsid w:val="38AE007F"/>
    <w:rsid w:val="38B92676"/>
    <w:rsid w:val="39D25EB8"/>
    <w:rsid w:val="39F257E0"/>
    <w:rsid w:val="3AAD339E"/>
    <w:rsid w:val="3B096510"/>
    <w:rsid w:val="3B414529"/>
    <w:rsid w:val="3B47240E"/>
    <w:rsid w:val="3B7C2F21"/>
    <w:rsid w:val="3B8A41D3"/>
    <w:rsid w:val="3BC00DC4"/>
    <w:rsid w:val="3C2B3DBA"/>
    <w:rsid w:val="3C651D50"/>
    <w:rsid w:val="3CF7310E"/>
    <w:rsid w:val="3D075683"/>
    <w:rsid w:val="3DF36DEA"/>
    <w:rsid w:val="3E103B9E"/>
    <w:rsid w:val="3E2829E9"/>
    <w:rsid w:val="3E2D328B"/>
    <w:rsid w:val="3E3C7EAC"/>
    <w:rsid w:val="3E5113D8"/>
    <w:rsid w:val="3F9A4950"/>
    <w:rsid w:val="3FA532F5"/>
    <w:rsid w:val="3FB452E6"/>
    <w:rsid w:val="3FF744E4"/>
    <w:rsid w:val="403D54CD"/>
    <w:rsid w:val="40797044"/>
    <w:rsid w:val="408028ED"/>
    <w:rsid w:val="41212AAF"/>
    <w:rsid w:val="41305DE5"/>
    <w:rsid w:val="4178455B"/>
    <w:rsid w:val="41B873F1"/>
    <w:rsid w:val="41BB6E00"/>
    <w:rsid w:val="41CE6B33"/>
    <w:rsid w:val="41CF3C5E"/>
    <w:rsid w:val="41FB71FC"/>
    <w:rsid w:val="4269619D"/>
    <w:rsid w:val="426A68F1"/>
    <w:rsid w:val="426B29F2"/>
    <w:rsid w:val="42ED38B0"/>
    <w:rsid w:val="44623B29"/>
    <w:rsid w:val="44CB7E92"/>
    <w:rsid w:val="44D53D34"/>
    <w:rsid w:val="44E92BF5"/>
    <w:rsid w:val="45941E41"/>
    <w:rsid w:val="45BC5CEF"/>
    <w:rsid w:val="45E82159"/>
    <w:rsid w:val="460C19D8"/>
    <w:rsid w:val="46767799"/>
    <w:rsid w:val="46987D34"/>
    <w:rsid w:val="46EA03E3"/>
    <w:rsid w:val="475036EC"/>
    <w:rsid w:val="476304E5"/>
    <w:rsid w:val="47C81012"/>
    <w:rsid w:val="48407E8B"/>
    <w:rsid w:val="48594C7C"/>
    <w:rsid w:val="48941C0A"/>
    <w:rsid w:val="48EE7ABB"/>
    <w:rsid w:val="48F03833"/>
    <w:rsid w:val="4A304D72"/>
    <w:rsid w:val="4A3412FF"/>
    <w:rsid w:val="4AD72CCC"/>
    <w:rsid w:val="4ADA08DD"/>
    <w:rsid w:val="4B302190"/>
    <w:rsid w:val="4B646BB7"/>
    <w:rsid w:val="4BD8030B"/>
    <w:rsid w:val="4C0D05F0"/>
    <w:rsid w:val="4C312198"/>
    <w:rsid w:val="4C6063F0"/>
    <w:rsid w:val="4D0D73CA"/>
    <w:rsid w:val="4D237C5B"/>
    <w:rsid w:val="4D396704"/>
    <w:rsid w:val="4DAE1114"/>
    <w:rsid w:val="4DB33731"/>
    <w:rsid w:val="4DB34E9F"/>
    <w:rsid w:val="4DCB56E6"/>
    <w:rsid w:val="4EA87052"/>
    <w:rsid w:val="4F0478A8"/>
    <w:rsid w:val="4F570614"/>
    <w:rsid w:val="5051384E"/>
    <w:rsid w:val="50932863"/>
    <w:rsid w:val="50C64757"/>
    <w:rsid w:val="51801680"/>
    <w:rsid w:val="528B597C"/>
    <w:rsid w:val="53434540"/>
    <w:rsid w:val="541B5C30"/>
    <w:rsid w:val="55945546"/>
    <w:rsid w:val="55CE5FAF"/>
    <w:rsid w:val="568D4A8B"/>
    <w:rsid w:val="577415B7"/>
    <w:rsid w:val="5787376C"/>
    <w:rsid w:val="57AC6A99"/>
    <w:rsid w:val="57B2003F"/>
    <w:rsid w:val="58340631"/>
    <w:rsid w:val="588621CE"/>
    <w:rsid w:val="58AC03AC"/>
    <w:rsid w:val="58B3037A"/>
    <w:rsid w:val="598F3C15"/>
    <w:rsid w:val="59D87F11"/>
    <w:rsid w:val="5A1256BA"/>
    <w:rsid w:val="5A3A0D9E"/>
    <w:rsid w:val="5AB51CCA"/>
    <w:rsid w:val="5AB57322"/>
    <w:rsid w:val="5BC0596D"/>
    <w:rsid w:val="5BE5635E"/>
    <w:rsid w:val="5BF03F10"/>
    <w:rsid w:val="5C03587B"/>
    <w:rsid w:val="5C4805D9"/>
    <w:rsid w:val="5C924AC5"/>
    <w:rsid w:val="5DA53F1B"/>
    <w:rsid w:val="5DA763B0"/>
    <w:rsid w:val="5DC63FF9"/>
    <w:rsid w:val="5F7E34EF"/>
    <w:rsid w:val="5FC627A0"/>
    <w:rsid w:val="5FD076A0"/>
    <w:rsid w:val="60CC0666"/>
    <w:rsid w:val="6157313D"/>
    <w:rsid w:val="61DA4AD9"/>
    <w:rsid w:val="629D4803"/>
    <w:rsid w:val="62AE498D"/>
    <w:rsid w:val="63167544"/>
    <w:rsid w:val="63B44CB8"/>
    <w:rsid w:val="63B47756"/>
    <w:rsid w:val="63D57455"/>
    <w:rsid w:val="63F04ADA"/>
    <w:rsid w:val="63FF44D2"/>
    <w:rsid w:val="644B5969"/>
    <w:rsid w:val="64A55079"/>
    <w:rsid w:val="64AB0CD1"/>
    <w:rsid w:val="64D84E1A"/>
    <w:rsid w:val="65675ED4"/>
    <w:rsid w:val="65F61109"/>
    <w:rsid w:val="66847731"/>
    <w:rsid w:val="66AB509B"/>
    <w:rsid w:val="676E5CC7"/>
    <w:rsid w:val="67E14BAB"/>
    <w:rsid w:val="67EE0AE5"/>
    <w:rsid w:val="67F71E56"/>
    <w:rsid w:val="684C44B3"/>
    <w:rsid w:val="68880F3A"/>
    <w:rsid w:val="68B57E21"/>
    <w:rsid w:val="68F22035"/>
    <w:rsid w:val="690F1726"/>
    <w:rsid w:val="69965CAB"/>
    <w:rsid w:val="6A2D5CB0"/>
    <w:rsid w:val="6A903B76"/>
    <w:rsid w:val="6AF83B5E"/>
    <w:rsid w:val="6B651B9E"/>
    <w:rsid w:val="6B833A0E"/>
    <w:rsid w:val="6BB90159"/>
    <w:rsid w:val="6C031C78"/>
    <w:rsid w:val="6C111246"/>
    <w:rsid w:val="6C124248"/>
    <w:rsid w:val="6C3033B9"/>
    <w:rsid w:val="6C5B268C"/>
    <w:rsid w:val="6C6B059F"/>
    <w:rsid w:val="6CA00B62"/>
    <w:rsid w:val="6CFE27E3"/>
    <w:rsid w:val="6D274D94"/>
    <w:rsid w:val="6D955447"/>
    <w:rsid w:val="6DD01AB0"/>
    <w:rsid w:val="6DEB139F"/>
    <w:rsid w:val="6E596222"/>
    <w:rsid w:val="6E8B3FD1"/>
    <w:rsid w:val="6E9D5013"/>
    <w:rsid w:val="6EE437CE"/>
    <w:rsid w:val="6F4D02A4"/>
    <w:rsid w:val="6FDB7D0C"/>
    <w:rsid w:val="706B3710"/>
    <w:rsid w:val="70784F6A"/>
    <w:rsid w:val="708C3E73"/>
    <w:rsid w:val="70B2470E"/>
    <w:rsid w:val="71943263"/>
    <w:rsid w:val="71B80224"/>
    <w:rsid w:val="720B21A0"/>
    <w:rsid w:val="725D01F5"/>
    <w:rsid w:val="72775B5D"/>
    <w:rsid w:val="729A1F12"/>
    <w:rsid w:val="72E163D5"/>
    <w:rsid w:val="730651BF"/>
    <w:rsid w:val="731675FF"/>
    <w:rsid w:val="7342759A"/>
    <w:rsid w:val="73DB0AB8"/>
    <w:rsid w:val="751540E3"/>
    <w:rsid w:val="757762DF"/>
    <w:rsid w:val="76085468"/>
    <w:rsid w:val="761838D9"/>
    <w:rsid w:val="764861AD"/>
    <w:rsid w:val="76C43A85"/>
    <w:rsid w:val="77154C42"/>
    <w:rsid w:val="772B58B2"/>
    <w:rsid w:val="77822AD2"/>
    <w:rsid w:val="779C364E"/>
    <w:rsid w:val="7846297D"/>
    <w:rsid w:val="788D434B"/>
    <w:rsid w:val="79487052"/>
    <w:rsid w:val="79D41C26"/>
    <w:rsid w:val="79E06FD9"/>
    <w:rsid w:val="7A202CBC"/>
    <w:rsid w:val="7A2B3BCE"/>
    <w:rsid w:val="7A666C01"/>
    <w:rsid w:val="7A895E56"/>
    <w:rsid w:val="7AC3206E"/>
    <w:rsid w:val="7AEF4216"/>
    <w:rsid w:val="7AFF6ACD"/>
    <w:rsid w:val="7B152AB2"/>
    <w:rsid w:val="7B436E21"/>
    <w:rsid w:val="7B471652"/>
    <w:rsid w:val="7C1D7794"/>
    <w:rsid w:val="7CAA6238"/>
    <w:rsid w:val="7DA02855"/>
    <w:rsid w:val="7DC73E5B"/>
    <w:rsid w:val="7DC73F51"/>
    <w:rsid w:val="7DFC3B04"/>
    <w:rsid w:val="7E134C71"/>
    <w:rsid w:val="7EFF5E79"/>
    <w:rsid w:val="7F210F90"/>
    <w:rsid w:val="7F2760C3"/>
    <w:rsid w:val="7F6D6584"/>
    <w:rsid w:val="7FC9482A"/>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8">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4">
    <w:name w:val="Quote"/>
    <w:basedOn w:val="1"/>
    <w:next w:val="1"/>
    <w:unhideWhenUsed/>
    <w:qFormat/>
    <w:uiPriority w:val="99"/>
    <w:pPr>
      <w:ind w:left="864" w:right="864"/>
      <w:jc w:val="center"/>
    </w:pPr>
    <w:rPr>
      <w:rFonts w:ascii="Times New Roman" w:hAnsi="Times New Roman"/>
      <w:i/>
      <w:iCs/>
      <w:color w:val="404040"/>
      <w:szCs w:val="21"/>
    </w:rPr>
  </w:style>
  <w:style w:type="paragraph" w:styleId="9">
    <w:name w:val="annotation text"/>
    <w:basedOn w:val="1"/>
    <w:qFormat/>
    <w:uiPriority w:val="0"/>
    <w:pPr>
      <w:jc w:val="left"/>
    </w:pPr>
    <w:rPr>
      <w:rFonts w:eastAsia="Calibri"/>
      <w:kern w:val="0"/>
      <w:sz w:val="22"/>
      <w:lang w:eastAsia="en-US"/>
    </w:rPr>
  </w:style>
  <w:style w:type="paragraph" w:styleId="10">
    <w:name w:val="Body Text Indent"/>
    <w:basedOn w:val="1"/>
    <w:next w:val="11"/>
    <w:link w:val="34"/>
    <w:qFormat/>
    <w:uiPriority w:val="0"/>
    <w:pPr>
      <w:spacing w:after="120"/>
      <w:ind w:left="420" w:leftChars="200"/>
    </w:pPr>
  </w:style>
  <w:style w:type="paragraph" w:styleId="11">
    <w:name w:val="envelope return"/>
    <w:basedOn w:val="1"/>
    <w:unhideWhenUsed/>
    <w:qFormat/>
    <w:uiPriority w:val="99"/>
    <w:pPr>
      <w:snapToGrid w:val="0"/>
      <w:ind w:firstLine="200"/>
    </w:pPr>
    <w:rPr>
      <w:rFonts w:ascii="Arial" w:hAnsi="Arial" w:cs="Arial"/>
      <w:szCs w:val="20"/>
    </w:rPr>
  </w:style>
  <w:style w:type="paragraph" w:styleId="12">
    <w:name w:val="Plain Text"/>
    <w:basedOn w:val="1"/>
    <w:link w:val="35"/>
    <w:qFormat/>
    <w:uiPriority w:val="0"/>
    <w:rPr>
      <w:rFonts w:ascii="宋体" w:hAnsi="Courier New"/>
      <w:szCs w:val="20"/>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toc 1"/>
    <w:basedOn w:val="1"/>
    <w:next w:val="1"/>
    <w:qFormat/>
    <w:uiPriority w:val="0"/>
  </w:style>
  <w:style w:type="paragraph" w:styleId="15">
    <w:name w:val="List"/>
    <w:basedOn w:val="1"/>
    <w:next w:val="1"/>
    <w:unhideWhenUsed/>
    <w:qFormat/>
    <w:uiPriority w:val="0"/>
    <w:pPr>
      <w:suppressAutoHyphens/>
    </w:pPr>
    <w:rPr>
      <w:rFonts w:hint="eastAsia"/>
      <w:kern w:val="1"/>
      <w:szCs w:val="21"/>
      <w:lang w:eastAsia="ar-SA"/>
    </w:rPr>
  </w:style>
  <w:style w:type="paragraph" w:styleId="16">
    <w:name w:val="footnote text"/>
    <w:basedOn w:val="1"/>
    <w:unhideWhenUsed/>
    <w:qFormat/>
    <w:uiPriority w:val="0"/>
    <w:pPr>
      <w:snapToGrid w:val="0"/>
      <w:jc w:val="left"/>
    </w:pPr>
    <w:rPr>
      <w:sz w:val="18"/>
      <w:szCs w:val="18"/>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qFormat/>
    <w:uiPriority w:val="0"/>
    <w:pPr>
      <w:tabs>
        <w:tab w:val="left" w:pos="450"/>
      </w:tabs>
      <w:ind w:left="450" w:hanging="450"/>
      <w:jc w:val="center"/>
    </w:pPr>
    <w:rPr>
      <w:rFonts w:ascii="黑体" w:eastAsia="黑体"/>
      <w:sz w:val="32"/>
      <w:szCs w:val="20"/>
    </w:rPr>
  </w:style>
  <w:style w:type="paragraph" w:styleId="19">
    <w:name w:val="Body Text First Indent"/>
    <w:basedOn w:val="2"/>
    <w:qFormat/>
    <w:uiPriority w:val="99"/>
    <w:pPr>
      <w:ind w:firstLine="420" w:firstLineChars="100"/>
    </w:pPr>
  </w:style>
  <w:style w:type="paragraph" w:styleId="20">
    <w:name w:val="Body Text First Indent 2"/>
    <w:basedOn w:val="10"/>
    <w:next w:val="1"/>
    <w:qFormat/>
    <w:uiPriority w:val="0"/>
    <w:pPr>
      <w:ind w:firstLine="420" w:firstLineChars="200"/>
    </w:pPr>
    <w:rPr>
      <w:rFonts w:ascii="Calibri" w:hAnsi="Calibri"/>
      <w:szCs w:val="2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basedOn w:val="23"/>
    <w:unhideWhenUsed/>
    <w:qFormat/>
    <w:uiPriority w:val="99"/>
    <w:rPr>
      <w:rFonts w:ascii="Times New Roman" w:hAnsi="Times New Roman" w:eastAsia="宋体" w:cs="Times New Roman"/>
      <w:color w:val="0000FF"/>
      <w:kern w:val="2"/>
      <w:sz w:val="21"/>
      <w:szCs w:val="24"/>
      <w:u w:val="single"/>
      <w:lang w:eastAsia="zh-CN"/>
    </w:rPr>
  </w:style>
  <w:style w:type="character" w:styleId="26">
    <w:name w:val="footnote reference"/>
    <w:unhideWhenUsed/>
    <w:qFormat/>
    <w:uiPriority w:val="0"/>
    <w:rPr>
      <w:vertAlign w:val="superscript"/>
    </w:rPr>
  </w:style>
  <w:style w:type="paragraph" w:customStyle="1" w:styleId="2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8">
    <w:name w:val="引用1"/>
    <w:basedOn w:val="1"/>
    <w:next w:val="1"/>
    <w:unhideWhenUsed/>
    <w:qFormat/>
    <w:uiPriority w:val="99"/>
    <w:pPr>
      <w:ind w:left="864" w:right="864"/>
      <w:jc w:val="center"/>
    </w:pPr>
    <w:rPr>
      <w:rFonts w:ascii="Times New Roman" w:hAnsi="Times New Roman"/>
      <w:i/>
      <w:iCs/>
      <w:color w:val="404040"/>
      <w:szCs w:val="21"/>
    </w:rPr>
  </w:style>
  <w:style w:type="paragraph" w:customStyle="1" w:styleId="29">
    <w:name w:val="WPSOffice手动目录 1"/>
    <w:qFormat/>
    <w:uiPriority w:val="0"/>
    <w:rPr>
      <w:rFonts w:asciiTheme="minorHAnsi" w:hAnsiTheme="minorHAnsi" w:eastAsiaTheme="minorEastAsia" w:cstheme="minorBidi"/>
      <w:lang w:val="en-US" w:eastAsia="zh-CN" w:bidi="ar-SA"/>
    </w:rPr>
  </w:style>
  <w:style w:type="character" w:customStyle="1" w:styleId="30">
    <w:name w:val="font61"/>
    <w:basedOn w:val="23"/>
    <w:qFormat/>
    <w:uiPriority w:val="0"/>
    <w:rPr>
      <w:rFonts w:hint="eastAsia" w:ascii="宋体" w:hAnsi="宋体" w:eastAsia="宋体" w:cs="宋体"/>
      <w:color w:val="000000"/>
      <w:sz w:val="20"/>
      <w:szCs w:val="20"/>
      <w:u w:val="none"/>
    </w:rPr>
  </w:style>
  <w:style w:type="character" w:customStyle="1" w:styleId="31">
    <w:name w:val="font141"/>
    <w:basedOn w:val="23"/>
    <w:qFormat/>
    <w:uiPriority w:val="0"/>
    <w:rPr>
      <w:rFonts w:hint="eastAsia" w:ascii="宋体" w:hAnsi="宋体" w:eastAsia="宋体" w:cs="宋体"/>
      <w:color w:val="000000"/>
      <w:sz w:val="24"/>
      <w:szCs w:val="24"/>
      <w:u w:val="none"/>
      <w:vertAlign w:val="superscript"/>
    </w:rPr>
  </w:style>
  <w:style w:type="paragraph" w:customStyle="1" w:styleId="32">
    <w:name w:val="样式 标题 2 + Times New Roman 四号 非加粗 段前: 5 磅 段后: 0 磅 行距: 固定值 20..."/>
    <w:basedOn w:val="6"/>
    <w:qFormat/>
    <w:uiPriority w:val="0"/>
    <w:pPr>
      <w:spacing w:before="100" w:line="400" w:lineRule="exact"/>
    </w:pPr>
    <w:rPr>
      <w:rFonts w:ascii="Times New Roman" w:hAnsi="Times New Roman" w:eastAsia="黑体" w:cs="宋体"/>
      <w:b w:val="0"/>
      <w:bCs w:val="0"/>
      <w:kern w:val="0"/>
      <w:szCs w:val="20"/>
    </w:rPr>
  </w:style>
  <w:style w:type="paragraph" w:customStyle="1" w:styleId="33">
    <w:name w:val="List Paragraph"/>
    <w:basedOn w:val="1"/>
    <w:qFormat/>
    <w:uiPriority w:val="1"/>
    <w:pPr>
      <w:ind w:left="235" w:hanging="527"/>
    </w:pPr>
    <w:rPr>
      <w:rFonts w:ascii="宋体" w:hAnsi="宋体" w:eastAsia="宋体" w:cs="宋体"/>
      <w:lang w:val="zh-CN" w:eastAsia="zh-CN" w:bidi="zh-CN"/>
    </w:rPr>
  </w:style>
  <w:style w:type="character" w:customStyle="1" w:styleId="34">
    <w:name w:val="正文文本缩进 Char"/>
    <w:link w:val="10"/>
    <w:qFormat/>
    <w:uiPriority w:val="0"/>
  </w:style>
  <w:style w:type="character" w:customStyle="1" w:styleId="35">
    <w:name w:val="纯文本 Char"/>
    <w:link w:val="12"/>
    <w:qFormat/>
    <w:uiPriority w:val="0"/>
    <w:rPr>
      <w:rFonts w:ascii="宋体" w:hAnsi="Courier New"/>
      <w:szCs w:val="20"/>
    </w:rPr>
  </w:style>
  <w:style w:type="paragraph" w:customStyle="1" w:styleId="36">
    <w:name w:val="Table Paragraph"/>
    <w:basedOn w:val="1"/>
    <w:qFormat/>
    <w:uiPriority w:val="1"/>
    <w:rPr>
      <w:rFonts w:ascii="宋体" w:hAnsi="宋体" w:eastAsia="宋体" w:cs="宋体"/>
    </w:rPr>
  </w:style>
  <w:style w:type="table" w:customStyle="1" w:styleId="37">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38">
    <w:name w:val="font11"/>
    <w:basedOn w:val="23"/>
    <w:qFormat/>
    <w:uiPriority w:val="0"/>
    <w:rPr>
      <w:rFonts w:hint="eastAsia" w:ascii="仿宋_GB2312" w:eastAsia="仿宋_GB2312" w:cs="仿宋_GB2312"/>
      <w:color w:val="000000"/>
      <w:sz w:val="24"/>
      <w:szCs w:val="24"/>
      <w:u w:val="none"/>
    </w:rPr>
  </w:style>
  <w:style w:type="paragraph" w:customStyle="1" w:styleId="39">
    <w:name w:val="Table Text"/>
    <w:semiHidden/>
    <w:qFormat/>
    <w:uiPriority w:val="0"/>
    <w:pPr>
      <w:widowControl w:val="0"/>
      <w:jc w:val="both"/>
    </w:pPr>
    <w:rPr>
      <w:rFonts w:ascii="宋体" w:hAnsi="宋体" w:eastAsia="宋体" w:cs="宋体"/>
      <w:kern w:val="2"/>
      <w:sz w:val="22"/>
      <w:szCs w:val="22"/>
      <w:lang w:val="en-US" w:eastAsia="en-US" w:bidi="ar-SA"/>
    </w:rPr>
  </w:style>
  <w:style w:type="character" w:customStyle="1" w:styleId="40">
    <w:name w:val="font01"/>
    <w:basedOn w:val="23"/>
    <w:qFormat/>
    <w:uiPriority w:val="0"/>
    <w:rPr>
      <w:rFonts w:hint="default" w:ascii="Arial" w:hAnsi="Arial" w:cs="Arial"/>
      <w:color w:val="000000"/>
      <w:sz w:val="20"/>
      <w:szCs w:val="20"/>
      <w:u w:val="none"/>
    </w:rPr>
  </w:style>
  <w:style w:type="character" w:customStyle="1" w:styleId="41">
    <w:name w:val="font31"/>
    <w:basedOn w:val="23"/>
    <w:qFormat/>
    <w:uiPriority w:val="0"/>
    <w:rPr>
      <w:rFonts w:hint="eastAsia" w:ascii="宋体" w:hAnsi="宋体" w:eastAsia="宋体" w:cs="宋体"/>
      <w:color w:val="000000"/>
      <w:sz w:val="20"/>
      <w:szCs w:val="20"/>
      <w:u w:val="none"/>
    </w:rPr>
  </w:style>
  <w:style w:type="character" w:customStyle="1" w:styleId="42">
    <w:name w:val="font21"/>
    <w:basedOn w:val="23"/>
    <w:qFormat/>
    <w:uiPriority w:val="0"/>
    <w:rPr>
      <w:rFonts w:hint="default" w:ascii="Arial" w:hAnsi="Arial" w:cs="Arial"/>
      <w:color w:val="000000"/>
      <w:sz w:val="22"/>
      <w:szCs w:val="22"/>
      <w:u w:val="none"/>
    </w:rPr>
  </w:style>
  <w:style w:type="character" w:customStyle="1" w:styleId="43">
    <w:name w:val="font81"/>
    <w:basedOn w:val="23"/>
    <w:qFormat/>
    <w:uiPriority w:val="0"/>
    <w:rPr>
      <w:rFonts w:hint="eastAsia" w:ascii="宋体" w:hAnsi="宋体" w:eastAsia="宋体" w:cs="宋体"/>
      <w:color w:val="000000"/>
      <w:sz w:val="21"/>
      <w:szCs w:val="21"/>
      <w:u w:val="none"/>
    </w:rPr>
  </w:style>
  <w:style w:type="character" w:customStyle="1" w:styleId="44">
    <w:name w:val="font5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19058</Words>
  <Characters>20752</Characters>
  <Lines>180</Lines>
  <Paragraphs>50</Paragraphs>
  <TotalTime>30</TotalTime>
  <ScaleCrop>false</ScaleCrop>
  <LinksUpToDate>false</LinksUpToDate>
  <CharactersWithSpaces>28239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2022-05-24T02:11:00Z</dcterms:created>
  <dc:creator>许鹏</dc:creator>
  <cp:lastModifiedBy>么King</cp:lastModifiedBy>
  <cp:lastPrinted>2023-11-17T01:59:09Z</cp:lastPrinted>
  <dcterms:modified xsi:type="dcterms:W3CDTF">2023-11-17T02:02:26Z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E11AADAC29B441AEB521F56F4AC4BBC5_13</vt:lpwstr>
  </property>
</Properties>
</file>